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B8E7" w14:textId="77777777" w:rsidR="00EF6304" w:rsidRDefault="00EF6304" w:rsidP="00EF6304">
      <w:pPr>
        <w:spacing w:after="0"/>
        <w:rPr>
          <w:b/>
        </w:rPr>
      </w:pPr>
      <w:r w:rsidRPr="00380BA1">
        <w:rPr>
          <w:b/>
        </w:rPr>
        <w:t xml:space="preserve">Instructions for Setting EHRA Non-Faculty </w:t>
      </w:r>
      <w:r>
        <w:rPr>
          <w:b/>
        </w:rPr>
        <w:t>P</w:t>
      </w:r>
      <w:r w:rsidRPr="00380BA1">
        <w:rPr>
          <w:b/>
        </w:rPr>
        <w:t>erformance Goals</w:t>
      </w:r>
    </w:p>
    <w:p w14:paraId="220D584D" w14:textId="77777777" w:rsidR="00EF6304" w:rsidRPr="00380BA1" w:rsidRDefault="00EF6304" w:rsidP="00EF6304">
      <w:pPr>
        <w:spacing w:after="0"/>
        <w:rPr>
          <w:b/>
        </w:rPr>
      </w:pPr>
    </w:p>
    <w:p w14:paraId="7501487A" w14:textId="77777777" w:rsidR="00EF6304" w:rsidRPr="00B02FC2" w:rsidRDefault="00EF6304" w:rsidP="00EF6304">
      <w:pPr>
        <w:tabs>
          <w:tab w:val="right" w:pos="9939"/>
        </w:tabs>
        <w:spacing w:after="0"/>
        <w:rPr>
          <w:b/>
          <w:u w:val="single"/>
        </w:rPr>
      </w:pPr>
      <w:r>
        <w:rPr>
          <w:b/>
          <w:u w:val="single"/>
        </w:rPr>
        <w:t>When Do I Set Goals?</w:t>
      </w:r>
    </w:p>
    <w:p w14:paraId="4D466D9A" w14:textId="77777777" w:rsidR="00EF6304" w:rsidRDefault="00EF6304" w:rsidP="00EF6304">
      <w:pPr>
        <w:tabs>
          <w:tab w:val="right" w:pos="9939"/>
        </w:tabs>
        <w:rPr>
          <w:rFonts w:cstheme="minorHAnsi"/>
          <w:szCs w:val="20"/>
        </w:rPr>
      </w:pPr>
      <w:r>
        <w:t xml:space="preserve">Performance goals should be set at the beginning of each </w:t>
      </w:r>
      <w:r w:rsidRPr="00531799">
        <w:rPr>
          <w:rFonts w:cstheme="minorHAnsi"/>
          <w:szCs w:val="20"/>
        </w:rPr>
        <w:t>performance evaluation cycle</w:t>
      </w:r>
      <w:r>
        <w:rPr>
          <w:rFonts w:cstheme="minorHAnsi"/>
          <w:szCs w:val="20"/>
        </w:rPr>
        <w:t xml:space="preserve"> which runs from July 1st to June 30</w:t>
      </w:r>
      <w:r w:rsidRPr="00A851D2">
        <w:rPr>
          <w:rFonts w:cstheme="minorHAnsi"/>
          <w:szCs w:val="20"/>
          <w:vertAlign w:val="superscript"/>
        </w:rPr>
        <w:t>th</w:t>
      </w:r>
      <w:r>
        <w:rPr>
          <w:rFonts w:cstheme="minorHAnsi"/>
          <w:szCs w:val="20"/>
        </w:rPr>
        <w:t xml:space="preserve">.  </w:t>
      </w:r>
      <w:r w:rsidRPr="00530BA7">
        <w:rPr>
          <w:rFonts w:cstheme="minorHAnsi"/>
          <w:szCs w:val="20"/>
        </w:rPr>
        <w:t xml:space="preserve">For the current performance, completing this document is optional.  For the performance cycle beginning July 1, 2019, this document will be mandatory.  </w:t>
      </w:r>
    </w:p>
    <w:p w14:paraId="21E77B66" w14:textId="77777777" w:rsidR="00EF6304" w:rsidRPr="00B02FC2" w:rsidRDefault="00EF6304" w:rsidP="00EF6304">
      <w:pPr>
        <w:tabs>
          <w:tab w:val="right" w:pos="9939"/>
        </w:tabs>
        <w:spacing w:after="0"/>
        <w:rPr>
          <w:rFonts w:cstheme="minorHAnsi"/>
          <w:b/>
          <w:szCs w:val="20"/>
          <w:u w:val="single"/>
        </w:rPr>
      </w:pPr>
      <w:r>
        <w:rPr>
          <w:rFonts w:cstheme="minorHAnsi"/>
          <w:b/>
          <w:szCs w:val="20"/>
          <w:u w:val="single"/>
        </w:rPr>
        <w:t>What is the Right Number of Goals?</w:t>
      </w:r>
    </w:p>
    <w:p w14:paraId="4875B259" w14:textId="77777777" w:rsidR="00EF6304" w:rsidRDefault="00EF6304" w:rsidP="00EF6304">
      <w:pPr>
        <w:tabs>
          <w:tab w:val="right" w:pos="9939"/>
        </w:tabs>
        <w:rPr>
          <w:rFonts w:cstheme="minorHAnsi"/>
          <w:szCs w:val="20"/>
        </w:rPr>
      </w:pPr>
      <w:r>
        <w:rPr>
          <w:rFonts w:cstheme="minorHAnsi"/>
          <w:szCs w:val="20"/>
        </w:rPr>
        <w:t>S</w:t>
      </w:r>
      <w:r w:rsidRPr="00531799">
        <w:rPr>
          <w:rFonts w:cstheme="minorHAnsi"/>
          <w:szCs w:val="20"/>
        </w:rPr>
        <w:t xml:space="preserve">upervisors </w:t>
      </w:r>
      <w:r>
        <w:rPr>
          <w:rFonts w:cstheme="minorHAnsi"/>
          <w:szCs w:val="20"/>
        </w:rPr>
        <w:t>should</w:t>
      </w:r>
      <w:r w:rsidRPr="00531799">
        <w:rPr>
          <w:rFonts w:cstheme="minorHAnsi"/>
          <w:szCs w:val="20"/>
        </w:rPr>
        <w:t xml:space="preserve"> establish at least three (3) goals and</w:t>
      </w:r>
      <w:r>
        <w:rPr>
          <w:rFonts w:cstheme="minorHAnsi"/>
          <w:szCs w:val="20"/>
        </w:rPr>
        <w:t xml:space="preserve"> objectives for the employee.  We recommend no more than five (5) goals.</w:t>
      </w:r>
      <w:r w:rsidRPr="00531799">
        <w:rPr>
          <w:rFonts w:cstheme="minorHAnsi"/>
          <w:szCs w:val="20"/>
        </w:rPr>
        <w:t xml:space="preserve"> </w:t>
      </w:r>
    </w:p>
    <w:p w14:paraId="6647E64F" w14:textId="77777777" w:rsidR="00EF6304" w:rsidRPr="00B02FC2" w:rsidRDefault="00EF6304" w:rsidP="00EF6304">
      <w:pPr>
        <w:tabs>
          <w:tab w:val="right" w:pos="9939"/>
        </w:tabs>
        <w:spacing w:after="0"/>
        <w:rPr>
          <w:rFonts w:cstheme="minorHAnsi"/>
          <w:b/>
          <w:szCs w:val="20"/>
          <w:u w:val="single"/>
        </w:rPr>
      </w:pPr>
      <w:r>
        <w:rPr>
          <w:rFonts w:cstheme="minorHAnsi"/>
          <w:b/>
          <w:szCs w:val="20"/>
          <w:u w:val="single"/>
        </w:rPr>
        <w:t xml:space="preserve">Where Should We </w:t>
      </w:r>
      <w:r w:rsidRPr="00B02FC2">
        <w:rPr>
          <w:rFonts w:cstheme="minorHAnsi"/>
          <w:b/>
          <w:szCs w:val="20"/>
          <w:u w:val="single"/>
        </w:rPr>
        <w:t>Focus</w:t>
      </w:r>
      <w:r>
        <w:rPr>
          <w:rFonts w:cstheme="minorHAnsi"/>
          <w:b/>
          <w:szCs w:val="20"/>
          <w:u w:val="single"/>
        </w:rPr>
        <w:t>?</w:t>
      </w:r>
    </w:p>
    <w:p w14:paraId="6F5B46B4" w14:textId="77777777" w:rsidR="00EF6304" w:rsidRPr="00531799" w:rsidRDefault="00EF6304" w:rsidP="00EF6304">
      <w:pPr>
        <w:tabs>
          <w:tab w:val="right" w:pos="9939"/>
        </w:tabs>
        <w:rPr>
          <w:rFonts w:cstheme="minorHAnsi"/>
          <w:szCs w:val="20"/>
        </w:rPr>
      </w:pPr>
      <w:r w:rsidRPr="00531799">
        <w:rPr>
          <w:rFonts w:cstheme="minorHAnsi"/>
          <w:szCs w:val="20"/>
        </w:rPr>
        <w:t>Goals and objectives</w:t>
      </w:r>
      <w:r w:rsidRPr="00B02FC2">
        <w:rPr>
          <w:rFonts w:cstheme="minorHAnsi"/>
          <w:szCs w:val="20"/>
        </w:rPr>
        <w:t xml:space="preserve"> </w:t>
      </w:r>
      <w:r>
        <w:rPr>
          <w:rFonts w:cstheme="minorHAnsi"/>
          <w:szCs w:val="20"/>
        </w:rPr>
        <w:t xml:space="preserve">should be </w:t>
      </w:r>
      <w:r w:rsidRPr="00531799">
        <w:rPr>
          <w:rFonts w:cstheme="minorHAnsi"/>
          <w:szCs w:val="20"/>
        </w:rPr>
        <w:t xml:space="preserve">based on key business needs, strategic initiatives, and principal functions of the position. </w:t>
      </w:r>
      <w:r w:rsidRPr="00531799">
        <w:rPr>
          <w:rFonts w:ascii="Calibri" w:hAnsi="Calibri"/>
          <w:szCs w:val="20"/>
        </w:rPr>
        <w:t xml:space="preserve">These goals are not intended to cover all aspects of </w:t>
      </w:r>
      <w:r>
        <w:rPr>
          <w:rFonts w:ascii="Calibri" w:hAnsi="Calibri"/>
          <w:szCs w:val="20"/>
        </w:rPr>
        <w:t xml:space="preserve">the </w:t>
      </w:r>
      <w:r w:rsidRPr="00531799">
        <w:rPr>
          <w:rFonts w:ascii="Calibri" w:hAnsi="Calibri"/>
          <w:szCs w:val="20"/>
        </w:rPr>
        <w:t>employee work product</w:t>
      </w:r>
      <w:r>
        <w:rPr>
          <w:rFonts w:ascii="Calibri" w:hAnsi="Calibri"/>
          <w:szCs w:val="20"/>
        </w:rPr>
        <w:t>.</w:t>
      </w:r>
      <w:r w:rsidRPr="00531799">
        <w:rPr>
          <w:rFonts w:cstheme="minorHAnsi"/>
          <w:szCs w:val="20"/>
        </w:rPr>
        <w:t xml:space="preserve"> </w:t>
      </w:r>
      <w:r>
        <w:rPr>
          <w:rFonts w:cstheme="minorHAnsi"/>
          <w:szCs w:val="20"/>
        </w:rPr>
        <w:t>They</w:t>
      </w:r>
      <w:r w:rsidRPr="00531799">
        <w:rPr>
          <w:rFonts w:cstheme="minorHAnsi"/>
          <w:szCs w:val="20"/>
        </w:rPr>
        <w:t xml:space="preserve"> should be focused on </w:t>
      </w:r>
      <w:r>
        <w:rPr>
          <w:rFonts w:cstheme="minorHAnsi"/>
          <w:szCs w:val="20"/>
        </w:rPr>
        <w:t xml:space="preserve">key results, </w:t>
      </w:r>
      <w:r w:rsidRPr="00531799">
        <w:rPr>
          <w:rFonts w:cstheme="minorHAnsi"/>
          <w:szCs w:val="20"/>
        </w:rPr>
        <w:t xml:space="preserve">outcomes </w:t>
      </w:r>
      <w:r>
        <w:rPr>
          <w:rFonts w:cstheme="minorHAnsi"/>
          <w:szCs w:val="20"/>
        </w:rPr>
        <w:t xml:space="preserve">and deliverables </w:t>
      </w:r>
      <w:r w:rsidRPr="00531799">
        <w:rPr>
          <w:rFonts w:cstheme="minorHAnsi"/>
          <w:szCs w:val="20"/>
        </w:rPr>
        <w:t xml:space="preserve">and may be:     </w:t>
      </w:r>
    </w:p>
    <w:p w14:paraId="1BB457B6" w14:textId="77777777" w:rsidR="00EF6304" w:rsidRDefault="00EF6304" w:rsidP="00EF6304">
      <w:pPr>
        <w:pStyle w:val="ListParagraph"/>
        <w:numPr>
          <w:ilvl w:val="0"/>
          <w:numId w:val="1"/>
        </w:numPr>
        <w:tabs>
          <w:tab w:val="right" w:pos="9939"/>
        </w:tabs>
        <w:spacing w:after="0" w:line="240" w:lineRule="auto"/>
        <w:rPr>
          <w:rFonts w:cstheme="minorHAnsi"/>
          <w:szCs w:val="20"/>
        </w:rPr>
      </w:pPr>
      <w:r w:rsidRPr="006A0F95">
        <w:rPr>
          <w:rFonts w:cstheme="minorHAnsi"/>
          <w:b/>
          <w:szCs w:val="20"/>
        </w:rPr>
        <w:t>Critical-Function</w:t>
      </w:r>
      <w:r>
        <w:rPr>
          <w:rFonts w:cstheme="minorHAnsi"/>
          <w:b/>
          <w:szCs w:val="20"/>
        </w:rPr>
        <w:t xml:space="preserve"> - </w:t>
      </w:r>
      <w:r w:rsidRPr="00425F21">
        <w:rPr>
          <w:rFonts w:cstheme="minorHAnsi"/>
          <w:szCs w:val="20"/>
        </w:rPr>
        <w:t>hi</w:t>
      </w:r>
      <w:r w:rsidRPr="00531799">
        <w:rPr>
          <w:rFonts w:cstheme="minorHAnsi"/>
          <w:szCs w:val="20"/>
        </w:rPr>
        <w:t xml:space="preserve">ghlight some of the most critical work needs in the position description </w:t>
      </w:r>
    </w:p>
    <w:p w14:paraId="70959F61" w14:textId="77777777" w:rsidR="00EF6304" w:rsidRPr="00531799" w:rsidRDefault="00EF6304" w:rsidP="00EF6304">
      <w:pPr>
        <w:pStyle w:val="ListParagraph"/>
        <w:numPr>
          <w:ilvl w:val="0"/>
          <w:numId w:val="1"/>
        </w:numPr>
        <w:tabs>
          <w:tab w:val="right" w:pos="9939"/>
        </w:tabs>
        <w:spacing w:after="0" w:line="240" w:lineRule="auto"/>
        <w:rPr>
          <w:rFonts w:cstheme="minorHAnsi"/>
          <w:szCs w:val="20"/>
        </w:rPr>
      </w:pPr>
      <w:r w:rsidRPr="006A0F95">
        <w:rPr>
          <w:rFonts w:cstheme="minorHAnsi"/>
          <w:b/>
          <w:szCs w:val="20"/>
        </w:rPr>
        <w:t>Compliance-Focused</w:t>
      </w:r>
      <w:r>
        <w:rPr>
          <w:rFonts w:cstheme="minorHAnsi"/>
          <w:szCs w:val="20"/>
        </w:rPr>
        <w:t xml:space="preserve"> - </w:t>
      </w:r>
      <w:r w:rsidRPr="00531799">
        <w:rPr>
          <w:rFonts w:cstheme="minorHAnsi"/>
          <w:szCs w:val="20"/>
        </w:rPr>
        <w:t xml:space="preserve">ensure compliance with relevant policies, procedures, regulations, and/or job requirements </w:t>
      </w:r>
    </w:p>
    <w:p w14:paraId="37104A45" w14:textId="77777777" w:rsidR="00EF6304" w:rsidRPr="00531799" w:rsidRDefault="00EF6304" w:rsidP="00EF6304">
      <w:pPr>
        <w:pStyle w:val="ListParagraph"/>
        <w:numPr>
          <w:ilvl w:val="0"/>
          <w:numId w:val="1"/>
        </w:numPr>
        <w:tabs>
          <w:tab w:val="right" w:pos="9939"/>
        </w:tabs>
        <w:spacing w:after="0" w:line="240" w:lineRule="auto"/>
        <w:rPr>
          <w:rFonts w:cstheme="minorHAnsi"/>
          <w:szCs w:val="20"/>
        </w:rPr>
      </w:pPr>
      <w:r w:rsidRPr="006A0F95">
        <w:rPr>
          <w:rFonts w:cstheme="minorHAnsi"/>
          <w:b/>
          <w:szCs w:val="20"/>
        </w:rPr>
        <w:t>Project-Oriented</w:t>
      </w:r>
      <w:r>
        <w:rPr>
          <w:rFonts w:cstheme="minorHAnsi"/>
          <w:szCs w:val="20"/>
        </w:rPr>
        <w:t xml:space="preserve"> - </w:t>
      </w:r>
      <w:r w:rsidRPr="00531799">
        <w:rPr>
          <w:rFonts w:cstheme="minorHAnsi"/>
          <w:szCs w:val="20"/>
        </w:rPr>
        <w:t xml:space="preserve">may be regular or one-time work that is significant during the cycle  </w:t>
      </w:r>
    </w:p>
    <w:p w14:paraId="06FE00A0" w14:textId="77777777" w:rsidR="00EF6304" w:rsidRPr="00531799" w:rsidRDefault="00EF6304" w:rsidP="00EF6304">
      <w:pPr>
        <w:pStyle w:val="ListParagraph"/>
        <w:numPr>
          <w:ilvl w:val="0"/>
          <w:numId w:val="1"/>
        </w:numPr>
        <w:tabs>
          <w:tab w:val="right" w:pos="9939"/>
        </w:tabs>
        <w:spacing w:after="0" w:line="240" w:lineRule="auto"/>
        <w:rPr>
          <w:rFonts w:cstheme="minorHAnsi"/>
          <w:szCs w:val="20"/>
        </w:rPr>
      </w:pPr>
      <w:r w:rsidRPr="006A0F95">
        <w:rPr>
          <w:rFonts w:cstheme="minorHAnsi"/>
          <w:b/>
          <w:szCs w:val="20"/>
        </w:rPr>
        <w:t>Work-Unit Specific</w:t>
      </w:r>
      <w:r>
        <w:rPr>
          <w:rFonts w:cstheme="minorHAnsi"/>
          <w:szCs w:val="20"/>
        </w:rPr>
        <w:t xml:space="preserve"> - </w:t>
      </w:r>
      <w:r w:rsidRPr="00531799">
        <w:rPr>
          <w:rFonts w:cstheme="minorHAnsi"/>
          <w:szCs w:val="20"/>
        </w:rPr>
        <w:t xml:space="preserve">improve and/or sustain work product or related team dynamics </w:t>
      </w:r>
    </w:p>
    <w:p w14:paraId="596ABF82" w14:textId="77777777" w:rsidR="00EF6304" w:rsidRPr="00531799" w:rsidRDefault="00EF6304" w:rsidP="00EF6304">
      <w:pPr>
        <w:pStyle w:val="ListParagraph"/>
        <w:numPr>
          <w:ilvl w:val="0"/>
          <w:numId w:val="1"/>
        </w:numPr>
        <w:tabs>
          <w:tab w:val="right" w:pos="9939"/>
        </w:tabs>
        <w:spacing w:after="0" w:line="240" w:lineRule="auto"/>
        <w:rPr>
          <w:rFonts w:cstheme="minorHAnsi"/>
          <w:szCs w:val="20"/>
        </w:rPr>
      </w:pPr>
      <w:r w:rsidRPr="006A0F95">
        <w:rPr>
          <w:rFonts w:cstheme="minorHAnsi"/>
          <w:b/>
          <w:szCs w:val="20"/>
        </w:rPr>
        <w:t>Division-Wide</w:t>
      </w:r>
      <w:r>
        <w:rPr>
          <w:rFonts w:cstheme="minorHAnsi"/>
          <w:szCs w:val="20"/>
        </w:rPr>
        <w:t xml:space="preserve"> - </w:t>
      </w:r>
      <w:r w:rsidRPr="00531799">
        <w:rPr>
          <w:rFonts w:cstheme="minorHAnsi"/>
          <w:szCs w:val="20"/>
        </w:rPr>
        <w:t>tied to University strategic goals and/or initiatives</w:t>
      </w:r>
    </w:p>
    <w:p w14:paraId="6F41BFB5" w14:textId="77777777" w:rsidR="00EF6304" w:rsidRPr="00425F21" w:rsidRDefault="00EF6304" w:rsidP="00EF6304">
      <w:pPr>
        <w:pStyle w:val="ListParagraph"/>
        <w:numPr>
          <w:ilvl w:val="0"/>
          <w:numId w:val="1"/>
        </w:numPr>
        <w:tabs>
          <w:tab w:val="right" w:pos="9939"/>
        </w:tabs>
        <w:spacing w:after="0" w:line="240" w:lineRule="auto"/>
        <w:rPr>
          <w:rFonts w:ascii="Calibri" w:hAnsi="Calibri"/>
          <w:szCs w:val="20"/>
        </w:rPr>
      </w:pPr>
      <w:r w:rsidRPr="00425F21">
        <w:rPr>
          <w:rFonts w:cstheme="minorHAnsi"/>
          <w:b/>
          <w:szCs w:val="20"/>
        </w:rPr>
        <w:t>Forward-Focused</w:t>
      </w:r>
      <w:r w:rsidRPr="00425F21">
        <w:rPr>
          <w:rFonts w:cstheme="minorHAnsi"/>
          <w:szCs w:val="20"/>
        </w:rPr>
        <w:t xml:space="preserve"> - align with the unit and the University strategic goals and mission</w:t>
      </w:r>
    </w:p>
    <w:p w14:paraId="486468A8" w14:textId="77777777" w:rsidR="00EF6304" w:rsidRDefault="00EF6304" w:rsidP="00EF6304">
      <w:pPr>
        <w:rPr>
          <w:rFonts w:ascii="Calibri" w:hAnsi="Calibri"/>
          <w:szCs w:val="20"/>
        </w:rPr>
      </w:pPr>
    </w:p>
    <w:p w14:paraId="4F0FD012" w14:textId="77777777" w:rsidR="00EF6304" w:rsidRPr="001D0AEB" w:rsidRDefault="00EF6304" w:rsidP="00EF6304">
      <w:pPr>
        <w:rPr>
          <w:rFonts w:ascii="Calibri" w:hAnsi="Calibri"/>
          <w:b/>
          <w:szCs w:val="20"/>
          <w:u w:val="single"/>
        </w:rPr>
      </w:pPr>
      <w:r w:rsidRPr="001D0AEB">
        <w:rPr>
          <w:rFonts w:ascii="Calibri" w:hAnsi="Calibri"/>
          <w:b/>
          <w:szCs w:val="20"/>
          <w:u w:val="single"/>
        </w:rPr>
        <w:t>Does My Employee Have a Say in This?</w:t>
      </w:r>
    </w:p>
    <w:p w14:paraId="2CAE109E" w14:textId="77777777" w:rsidR="00EF6304" w:rsidRDefault="00EF6304" w:rsidP="00EF6304">
      <w:pPr>
        <w:rPr>
          <w:rFonts w:ascii="Calibri" w:hAnsi="Calibri"/>
          <w:szCs w:val="20"/>
        </w:rPr>
      </w:pPr>
      <w:r>
        <w:rPr>
          <w:rFonts w:ascii="Calibri" w:hAnsi="Calibri"/>
          <w:szCs w:val="20"/>
        </w:rPr>
        <w:t xml:space="preserve">Yes! It is important that the employee have a voice in the process to ensure buy-in and engagement. Often managers will have the employee take the first pass at creating their own goals for the upcoming performance period. </w:t>
      </w:r>
    </w:p>
    <w:p w14:paraId="2CC03B37" w14:textId="77777777" w:rsidR="00EF6304" w:rsidRPr="00B02FC2" w:rsidRDefault="00EF6304" w:rsidP="00EF6304">
      <w:pPr>
        <w:spacing w:after="0"/>
        <w:rPr>
          <w:b/>
          <w:u w:val="single"/>
        </w:rPr>
      </w:pPr>
      <w:r>
        <w:rPr>
          <w:b/>
          <w:u w:val="single"/>
        </w:rPr>
        <w:t>How Do I “Connect the Dots” for my Employees?</w:t>
      </w:r>
    </w:p>
    <w:p w14:paraId="65AC8133" w14:textId="77777777" w:rsidR="00EF6304" w:rsidRDefault="00EF6304" w:rsidP="00EF6304">
      <w:pPr>
        <w:rPr>
          <w:rFonts w:ascii="Calibri" w:hAnsi="Calibri"/>
          <w:szCs w:val="20"/>
        </w:rPr>
      </w:pPr>
      <w:r>
        <w:t xml:space="preserve">It is important that individuals see how their work is tied to the overall mission, vision and priorities of their organization.  Whenever possible, your employee’s goals should be aligned to The University of North Carolina System Strategic Plan, UNC-Chapel Hill Blueprint for Next Strategic Plan, UNC-Chapel Hill Institutional Goals and your Division/School goals. Linking these higher-level goals and strategic priorities to the individual’s performance goals will enable the individual to connect their performance to the performance of their division/school as well as the University and the System as a whole. </w:t>
      </w:r>
      <w:r>
        <w:rPr>
          <w:rFonts w:ascii="Calibri" w:hAnsi="Calibri"/>
          <w:szCs w:val="20"/>
        </w:rPr>
        <w:t>Refer to the Goal Alignment Worksheet to help “connect the dots”.</w:t>
      </w:r>
    </w:p>
    <w:p w14:paraId="25E561AA" w14:textId="77777777" w:rsidR="00EF6304" w:rsidRPr="00416913" w:rsidRDefault="00EF6304" w:rsidP="00EF6304">
      <w:pPr>
        <w:spacing w:after="0"/>
        <w:rPr>
          <w:rFonts w:ascii="Calibri" w:hAnsi="Calibri"/>
          <w:b/>
          <w:szCs w:val="20"/>
          <w:u w:val="single"/>
        </w:rPr>
      </w:pPr>
      <w:r w:rsidRPr="00416913">
        <w:rPr>
          <w:rFonts w:ascii="Calibri" w:hAnsi="Calibri"/>
          <w:b/>
          <w:szCs w:val="20"/>
          <w:u w:val="single"/>
        </w:rPr>
        <w:t>Where Can I Find More Information?</w:t>
      </w:r>
    </w:p>
    <w:p w14:paraId="6BE06BF4" w14:textId="77777777" w:rsidR="00EF6304" w:rsidRDefault="00EF6304" w:rsidP="00EF6304">
      <w:r w:rsidRPr="00531799">
        <w:rPr>
          <w:rFonts w:ascii="Calibri" w:hAnsi="Calibri"/>
          <w:szCs w:val="20"/>
        </w:rPr>
        <w:t xml:space="preserve">For additional information and resources </w:t>
      </w:r>
      <w:r>
        <w:rPr>
          <w:rFonts w:ascii="Calibri" w:hAnsi="Calibri"/>
          <w:szCs w:val="20"/>
        </w:rPr>
        <w:t>for</w:t>
      </w:r>
      <w:r w:rsidRPr="00531799">
        <w:rPr>
          <w:rFonts w:ascii="Calibri" w:hAnsi="Calibri"/>
          <w:szCs w:val="20"/>
        </w:rPr>
        <w:t xml:space="preserve"> writing individual goals, please visit the OHR website at </w:t>
      </w:r>
      <w:hyperlink r:id="rId5" w:history="1">
        <w:r w:rsidRPr="00531799">
          <w:rPr>
            <w:rStyle w:val="Hyperlink"/>
            <w:rFonts w:ascii="Calibri" w:hAnsi="Calibri"/>
            <w:szCs w:val="20"/>
          </w:rPr>
          <w:t>https://hr.unc.edu/managers/performance/ehra-evaluation/</w:t>
        </w:r>
      </w:hyperlink>
    </w:p>
    <w:p w14:paraId="1B9A6E7F" w14:textId="77777777" w:rsidR="00EF6304" w:rsidRPr="006B6A32" w:rsidRDefault="00EF6304" w:rsidP="00EF6304">
      <w:pPr>
        <w:rPr>
          <w:u w:val="single"/>
        </w:rPr>
      </w:pPr>
      <w:r w:rsidRPr="006B6A32">
        <w:rPr>
          <w:b/>
          <w:u w:val="single"/>
        </w:rPr>
        <w:t>Instructions for Creating a Professional Development Plan</w:t>
      </w:r>
    </w:p>
    <w:p w14:paraId="0E8DC58C" w14:textId="77777777" w:rsidR="00EF6304" w:rsidRDefault="00EF6304" w:rsidP="00EF6304">
      <w:pPr>
        <w:rPr>
          <w:rFonts w:cstheme="minorHAnsi"/>
          <w:szCs w:val="20"/>
        </w:rPr>
      </w:pPr>
      <w:r w:rsidRPr="006A0F95">
        <w:rPr>
          <w:rFonts w:cstheme="minorHAnsi"/>
          <w:szCs w:val="20"/>
        </w:rPr>
        <w:t>Discuss professional development activities with the employee and determine the appropriate activities to be established during the performance cycle.  These may include activities for employee growth and/or to address performance.  Some examples of professional development activities may include training programs, committee work, conference attendance and/or presentations, or other related activities that maintain, develop or broaden employee skills relevant to the employee’s position, career path, or service to the University</w:t>
      </w:r>
      <w:r>
        <w:rPr>
          <w:rFonts w:cstheme="minorHAnsi"/>
          <w:szCs w:val="20"/>
        </w:rPr>
        <w:t>.</w:t>
      </w:r>
    </w:p>
    <w:p w14:paraId="6FE0434E" w14:textId="77777777" w:rsidR="00EF6304" w:rsidRDefault="00EF6304" w:rsidP="00EF6304">
      <w:pPr>
        <w:rPr>
          <w:rFonts w:cstheme="minorHAnsi"/>
          <w:szCs w:val="20"/>
        </w:rPr>
        <w:sectPr w:rsidR="00EF6304" w:rsidSect="00543691">
          <w:headerReference w:type="default" r:id="rId6"/>
          <w:pgSz w:w="12240" w:h="15840"/>
          <w:pgMar w:top="720" w:right="720" w:bottom="720" w:left="720" w:header="720" w:footer="720" w:gutter="0"/>
          <w:cols w:space="720"/>
          <w:docGrid w:linePitch="360"/>
        </w:sectPr>
      </w:pPr>
    </w:p>
    <w:p w14:paraId="0982F110" w14:textId="77777777" w:rsidR="00EF6304" w:rsidRPr="00D634C2" w:rsidRDefault="00EF6304" w:rsidP="00EF6304">
      <w:pPr>
        <w:spacing w:after="0"/>
        <w:jc w:val="center"/>
        <w:rPr>
          <w:rFonts w:cstheme="minorHAnsi"/>
          <w:b/>
          <w:sz w:val="24"/>
          <w:szCs w:val="20"/>
        </w:rPr>
      </w:pPr>
      <w:r>
        <w:rPr>
          <w:rFonts w:cstheme="minorHAnsi"/>
          <w:b/>
          <w:szCs w:val="20"/>
        </w:rPr>
        <w:lastRenderedPageBreak/>
        <w:t xml:space="preserve">                                                                                                                     </w:t>
      </w:r>
      <w:r w:rsidRPr="00D634C2">
        <w:rPr>
          <w:rFonts w:cstheme="minorHAnsi"/>
          <w:b/>
          <w:sz w:val="24"/>
          <w:szCs w:val="20"/>
        </w:rPr>
        <w:t>Goal Alignment Worksheet</w:t>
      </w:r>
    </w:p>
    <w:p w14:paraId="7F66B1AC" w14:textId="77777777" w:rsidR="00EF6304" w:rsidRPr="00297FC0" w:rsidRDefault="00EF6304" w:rsidP="00EF6304">
      <w:pPr>
        <w:spacing w:after="0"/>
        <w:rPr>
          <w:rFonts w:cstheme="minorHAnsi"/>
          <w:sz w:val="16"/>
          <w:szCs w:val="20"/>
        </w:rPr>
      </w:pPr>
    </w:p>
    <w:p w14:paraId="21BB22E6" w14:textId="77777777" w:rsidR="00EF6304" w:rsidRDefault="00EF6304" w:rsidP="00EF6304">
      <w:pPr>
        <w:spacing w:after="0"/>
        <w:rPr>
          <w:rFonts w:cstheme="minorHAnsi"/>
          <w:szCs w:val="20"/>
        </w:rPr>
      </w:pPr>
      <w:r>
        <w:rPr>
          <w:rFonts w:cstheme="minorHAnsi"/>
          <w:szCs w:val="20"/>
        </w:rPr>
        <w:t xml:space="preserve">Individual Annual Performance Goals should be aligned to one or more higher-level goals or strategic plans outlined below.  </w:t>
      </w:r>
    </w:p>
    <w:p w14:paraId="23369E82" w14:textId="77777777" w:rsidR="00EF6304" w:rsidRPr="00D634C2" w:rsidRDefault="00EF6304" w:rsidP="00EF6304">
      <w:pPr>
        <w:spacing w:after="0"/>
        <w:rPr>
          <w:rFonts w:cstheme="minorHAnsi"/>
          <w:sz w:val="10"/>
          <w:szCs w:val="20"/>
        </w:rPr>
      </w:pPr>
    </w:p>
    <w:tbl>
      <w:tblPr>
        <w:tblStyle w:val="TableGrid"/>
        <w:tblW w:w="14485" w:type="dxa"/>
        <w:tblLook w:val="04A0" w:firstRow="1" w:lastRow="0" w:firstColumn="1" w:lastColumn="0" w:noHBand="0" w:noVBand="1"/>
      </w:tblPr>
      <w:tblGrid>
        <w:gridCol w:w="3685"/>
        <w:gridCol w:w="3600"/>
        <w:gridCol w:w="3780"/>
        <w:gridCol w:w="3420"/>
      </w:tblGrid>
      <w:tr w:rsidR="00EF6304" w14:paraId="1D8115C0" w14:textId="77777777" w:rsidTr="00637D8E">
        <w:tc>
          <w:tcPr>
            <w:tcW w:w="3685" w:type="dxa"/>
            <w:shd w:val="clear" w:color="auto" w:fill="D9E2F3" w:themeFill="accent1" w:themeFillTint="33"/>
          </w:tcPr>
          <w:p w14:paraId="016BA99D" w14:textId="77777777" w:rsidR="00EF6304" w:rsidRDefault="00EF6304" w:rsidP="00637D8E">
            <w:pPr>
              <w:rPr>
                <w:rFonts w:cstheme="minorHAnsi"/>
                <w:szCs w:val="20"/>
              </w:rPr>
            </w:pPr>
            <w:r>
              <w:rPr>
                <w:rFonts w:cstheme="minorHAnsi"/>
                <w:szCs w:val="20"/>
              </w:rPr>
              <w:t xml:space="preserve"> </w:t>
            </w:r>
            <w:r w:rsidRPr="004311D3">
              <w:rPr>
                <w:rFonts w:ascii="Calibri" w:hAnsi="Calibri"/>
                <w:b/>
              </w:rPr>
              <w:t>University of North Carolina System Strategic Plan</w:t>
            </w:r>
          </w:p>
        </w:tc>
        <w:tc>
          <w:tcPr>
            <w:tcW w:w="3600" w:type="dxa"/>
            <w:shd w:val="clear" w:color="auto" w:fill="D9E2F3" w:themeFill="accent1" w:themeFillTint="33"/>
          </w:tcPr>
          <w:p w14:paraId="1A568AFC" w14:textId="77777777" w:rsidR="00EF6304" w:rsidRPr="006425DA" w:rsidRDefault="00EF6304" w:rsidP="00637D8E">
            <w:pPr>
              <w:rPr>
                <w:rFonts w:cstheme="minorHAnsi"/>
                <w:b/>
                <w:szCs w:val="20"/>
              </w:rPr>
            </w:pPr>
            <w:r w:rsidRPr="006425DA">
              <w:rPr>
                <w:rFonts w:cstheme="minorHAnsi"/>
                <w:b/>
                <w:szCs w:val="20"/>
              </w:rPr>
              <w:t>UNC-Chapel Hill Blueprint for Next</w:t>
            </w:r>
          </w:p>
        </w:tc>
        <w:tc>
          <w:tcPr>
            <w:tcW w:w="3780" w:type="dxa"/>
            <w:shd w:val="clear" w:color="auto" w:fill="D9E2F3" w:themeFill="accent1" w:themeFillTint="33"/>
          </w:tcPr>
          <w:p w14:paraId="051E99B4" w14:textId="77777777" w:rsidR="00EF6304" w:rsidRDefault="00EF6304" w:rsidP="00637D8E">
            <w:pPr>
              <w:rPr>
                <w:rFonts w:cstheme="minorHAnsi"/>
                <w:szCs w:val="20"/>
              </w:rPr>
            </w:pPr>
            <w:r>
              <w:rPr>
                <w:rFonts w:ascii="Calibri" w:hAnsi="Calibri"/>
                <w:b/>
                <w:szCs w:val="20"/>
              </w:rPr>
              <w:t>Institutional Goals</w:t>
            </w:r>
          </w:p>
        </w:tc>
        <w:tc>
          <w:tcPr>
            <w:tcW w:w="3420" w:type="dxa"/>
            <w:shd w:val="clear" w:color="auto" w:fill="D9E2F3" w:themeFill="accent1" w:themeFillTint="33"/>
          </w:tcPr>
          <w:p w14:paraId="01FB3731" w14:textId="77777777" w:rsidR="00EF6304" w:rsidRPr="006425DA" w:rsidRDefault="00EF6304" w:rsidP="00637D8E">
            <w:pPr>
              <w:rPr>
                <w:rFonts w:cstheme="minorHAnsi"/>
                <w:b/>
                <w:szCs w:val="20"/>
              </w:rPr>
            </w:pPr>
            <w:r w:rsidRPr="006425DA">
              <w:rPr>
                <w:rFonts w:cstheme="minorHAnsi"/>
                <w:b/>
                <w:szCs w:val="20"/>
              </w:rPr>
              <w:t>Division/School Goals</w:t>
            </w:r>
          </w:p>
        </w:tc>
      </w:tr>
      <w:tr w:rsidR="00EF6304" w14:paraId="6A322E64" w14:textId="77777777" w:rsidTr="00637D8E">
        <w:trPr>
          <w:trHeight w:val="8027"/>
        </w:trPr>
        <w:tc>
          <w:tcPr>
            <w:tcW w:w="3685" w:type="dxa"/>
            <w:shd w:val="clear" w:color="auto" w:fill="F2F2F2" w:themeFill="background1" w:themeFillShade="F2"/>
          </w:tcPr>
          <w:p w14:paraId="7C2C38C2" w14:textId="77777777" w:rsidR="00EF6304" w:rsidRDefault="00EF6304" w:rsidP="00637D8E">
            <w:pPr>
              <w:contextualSpacing/>
              <w:rPr>
                <w:rFonts w:ascii="Calibri" w:hAnsi="Calibri"/>
                <w:sz w:val="16"/>
                <w:szCs w:val="20"/>
              </w:rPr>
            </w:pPr>
            <w:r w:rsidRPr="008B5D03">
              <w:rPr>
                <w:rFonts w:ascii="Calibri" w:hAnsi="Calibri"/>
                <w:b/>
                <w:sz w:val="18"/>
                <w:szCs w:val="20"/>
              </w:rPr>
              <w:t>ACCESS</w:t>
            </w:r>
            <w:r w:rsidRPr="006C3FFC">
              <w:rPr>
                <w:rFonts w:ascii="Calibri" w:hAnsi="Calibri"/>
                <w:sz w:val="16"/>
                <w:szCs w:val="20"/>
              </w:rPr>
              <w:t>: the opportunity for all North Carolinians who are prepared for the associated rigorous learning experiences to pursue a university education.</w:t>
            </w:r>
          </w:p>
          <w:p w14:paraId="478A670B" w14:textId="77777777" w:rsidR="00EF6304" w:rsidRPr="006C3FFC" w:rsidRDefault="00EF6304" w:rsidP="00637D8E">
            <w:pPr>
              <w:contextualSpacing/>
              <w:rPr>
                <w:rFonts w:ascii="Calibri" w:hAnsi="Calibri"/>
                <w:sz w:val="16"/>
                <w:szCs w:val="20"/>
              </w:rPr>
            </w:pPr>
          </w:p>
          <w:p w14:paraId="239FFD45" w14:textId="77777777" w:rsidR="00EF6304" w:rsidRDefault="00EF6304" w:rsidP="00637D8E">
            <w:pPr>
              <w:contextualSpacing/>
              <w:rPr>
                <w:rFonts w:ascii="Calibri" w:hAnsi="Calibri"/>
                <w:sz w:val="16"/>
                <w:szCs w:val="20"/>
              </w:rPr>
            </w:pPr>
            <w:r w:rsidRPr="008B5D03">
              <w:rPr>
                <w:rFonts w:ascii="Calibri" w:hAnsi="Calibri"/>
                <w:b/>
                <w:sz w:val="18"/>
                <w:szCs w:val="20"/>
              </w:rPr>
              <w:t>STUDENT SUCCESS</w:t>
            </w:r>
            <w:r w:rsidRPr="006C3FFC">
              <w:rPr>
                <w:rFonts w:ascii="Calibri" w:hAnsi="Calibri"/>
                <w:sz w:val="16"/>
                <w:szCs w:val="20"/>
              </w:rPr>
              <w:t>: A combination of positive intellectual, personal, and social development facilitated by a high-quality university education.</w:t>
            </w:r>
            <w:r w:rsidRPr="006C3FFC">
              <w:rPr>
                <w:sz w:val="16"/>
              </w:rPr>
              <w:t xml:space="preserve"> </w:t>
            </w:r>
            <w:r w:rsidRPr="006C3FFC">
              <w:rPr>
                <w:rFonts w:ascii="Calibri" w:hAnsi="Calibri"/>
                <w:sz w:val="16"/>
                <w:szCs w:val="20"/>
              </w:rPr>
              <w:t>The development of competencies — critical and creative thinking, life-long learning, technological mastery, resilience, effective communication, flexibility, and collaboration, among others — for meaningful engagement in 21st-century life. The timely acquisition of a degree.</w:t>
            </w:r>
          </w:p>
          <w:p w14:paraId="4BC40599" w14:textId="77777777" w:rsidR="00EF6304" w:rsidRPr="008B5D03" w:rsidRDefault="00EF6304" w:rsidP="00637D8E">
            <w:pPr>
              <w:contextualSpacing/>
              <w:rPr>
                <w:rFonts w:ascii="Calibri" w:hAnsi="Calibri"/>
                <w:b/>
                <w:sz w:val="18"/>
                <w:szCs w:val="20"/>
              </w:rPr>
            </w:pPr>
          </w:p>
          <w:p w14:paraId="3A17AE00" w14:textId="77777777" w:rsidR="00EF6304" w:rsidRDefault="00EF6304" w:rsidP="00637D8E">
            <w:pPr>
              <w:contextualSpacing/>
              <w:rPr>
                <w:rFonts w:ascii="Calibri" w:hAnsi="Calibri"/>
                <w:sz w:val="16"/>
                <w:szCs w:val="20"/>
              </w:rPr>
            </w:pPr>
            <w:r w:rsidRPr="008B5D03">
              <w:rPr>
                <w:rFonts w:ascii="Calibri" w:hAnsi="Calibri"/>
                <w:b/>
                <w:sz w:val="18"/>
                <w:szCs w:val="20"/>
              </w:rPr>
              <w:t>AFFORDABILITY &amp; EFFICIENCY</w:t>
            </w:r>
            <w:r w:rsidRPr="006C3FFC">
              <w:rPr>
                <w:rFonts w:ascii="Calibri" w:hAnsi="Calibri"/>
                <w:sz w:val="16"/>
                <w:szCs w:val="20"/>
              </w:rPr>
              <w:t>:</w:t>
            </w:r>
            <w:r w:rsidRPr="006C3FFC">
              <w:rPr>
                <w:sz w:val="16"/>
              </w:rPr>
              <w:t xml:space="preserve"> </w:t>
            </w:r>
            <w:r w:rsidRPr="006C3FFC">
              <w:rPr>
                <w:rFonts w:ascii="Calibri" w:hAnsi="Calibri"/>
                <w:sz w:val="16"/>
                <w:szCs w:val="20"/>
              </w:rPr>
              <w:t>A working compact among the state’s elected officials, taxpayers, and UNC to deliver the University’s multifaceted mission at the highest levels of quality in a cost-effective manner without regard to a student’s ability to pay.</w:t>
            </w:r>
          </w:p>
          <w:p w14:paraId="397B13A9" w14:textId="77777777" w:rsidR="00EF6304" w:rsidRPr="008B5D03" w:rsidRDefault="00EF6304" w:rsidP="00637D8E">
            <w:pPr>
              <w:contextualSpacing/>
              <w:rPr>
                <w:rFonts w:ascii="Calibri" w:hAnsi="Calibri"/>
                <w:b/>
                <w:sz w:val="18"/>
                <w:szCs w:val="20"/>
              </w:rPr>
            </w:pPr>
          </w:p>
          <w:p w14:paraId="41AE162F" w14:textId="77777777" w:rsidR="00EF6304" w:rsidRDefault="00EF6304" w:rsidP="00637D8E">
            <w:pPr>
              <w:contextualSpacing/>
              <w:rPr>
                <w:rFonts w:ascii="Calibri" w:hAnsi="Calibri"/>
                <w:sz w:val="16"/>
                <w:szCs w:val="20"/>
              </w:rPr>
            </w:pPr>
            <w:r w:rsidRPr="008B5D03">
              <w:rPr>
                <w:rFonts w:ascii="Calibri" w:hAnsi="Calibri"/>
                <w:b/>
                <w:sz w:val="18"/>
                <w:szCs w:val="20"/>
              </w:rPr>
              <w:t>ECONOMIC IMPACT &amp; COMMUNITY ENGAGEMENT:</w:t>
            </w:r>
            <w:r w:rsidRPr="006C3FFC">
              <w:rPr>
                <w:sz w:val="16"/>
              </w:rPr>
              <w:t xml:space="preserve"> </w:t>
            </w:r>
            <w:r w:rsidRPr="006C3FFC">
              <w:rPr>
                <w:rFonts w:ascii="Calibri" w:hAnsi="Calibri"/>
                <w:sz w:val="16"/>
                <w:szCs w:val="20"/>
              </w:rPr>
              <w:t>Preparing graduates to be well-rounded citizens and lifelong learners to meet the state’s long-term needs; improving quality of life; investing in foundational research; speeding the discovery, application, and translation of research; and deepening sustained partnerships that strengthen local communities and the state’s economy.</w:t>
            </w:r>
          </w:p>
          <w:p w14:paraId="4E95D01B" w14:textId="77777777" w:rsidR="00EF6304" w:rsidRPr="008B5D03" w:rsidRDefault="00EF6304" w:rsidP="00637D8E">
            <w:pPr>
              <w:contextualSpacing/>
              <w:rPr>
                <w:rFonts w:ascii="Calibri" w:hAnsi="Calibri"/>
                <w:b/>
                <w:sz w:val="18"/>
                <w:szCs w:val="20"/>
              </w:rPr>
            </w:pPr>
          </w:p>
          <w:p w14:paraId="645D7D23" w14:textId="77777777" w:rsidR="00EF6304" w:rsidRDefault="00EF6304" w:rsidP="00637D8E">
            <w:pPr>
              <w:rPr>
                <w:rFonts w:cstheme="minorHAnsi"/>
                <w:szCs w:val="20"/>
              </w:rPr>
            </w:pPr>
            <w:r w:rsidRPr="008B5D03">
              <w:rPr>
                <w:rFonts w:ascii="Calibri" w:hAnsi="Calibri"/>
                <w:b/>
                <w:sz w:val="18"/>
                <w:szCs w:val="20"/>
              </w:rPr>
              <w:t>EXCELLENT &amp; DIVERSE INSTITUTIONS:</w:t>
            </w:r>
            <w:r w:rsidRPr="006C3FFC">
              <w:rPr>
                <w:rFonts w:ascii="Calibri" w:hAnsi="Calibri"/>
                <w:sz w:val="16"/>
                <w:szCs w:val="20"/>
              </w:rPr>
              <w:t xml:space="preserve"> The University’s constituent institutions are individually distinct and mission-focused and collectively comprise an inclusive and vibrant university system, committed to excellence and the fullest development of a diversity of students, faculty, and staff.</w:t>
            </w:r>
          </w:p>
        </w:tc>
        <w:tc>
          <w:tcPr>
            <w:tcW w:w="3600" w:type="dxa"/>
            <w:shd w:val="clear" w:color="auto" w:fill="F2F2F2" w:themeFill="background1" w:themeFillShade="F2"/>
          </w:tcPr>
          <w:p w14:paraId="7196A60B" w14:textId="77777777" w:rsidR="00EF6304" w:rsidRDefault="00EF6304" w:rsidP="00637D8E">
            <w:pPr>
              <w:rPr>
                <w:rFonts w:cstheme="minorHAnsi"/>
                <w:sz w:val="16"/>
                <w:szCs w:val="20"/>
              </w:rPr>
            </w:pPr>
            <w:r w:rsidRPr="008B5D03">
              <w:rPr>
                <w:rFonts w:cstheme="minorHAnsi"/>
                <w:b/>
                <w:sz w:val="18"/>
                <w:szCs w:val="20"/>
              </w:rPr>
              <w:t xml:space="preserve">Pillar 1 </w:t>
            </w:r>
            <w:r>
              <w:rPr>
                <w:rFonts w:cstheme="minorHAnsi"/>
                <w:b/>
                <w:sz w:val="18"/>
                <w:szCs w:val="20"/>
              </w:rPr>
              <w:t>–</w:t>
            </w:r>
            <w:r w:rsidRPr="008B5D03">
              <w:rPr>
                <w:rFonts w:cstheme="minorHAnsi"/>
                <w:b/>
                <w:sz w:val="18"/>
                <w:szCs w:val="20"/>
              </w:rPr>
              <w:t xml:space="preserve"> </w:t>
            </w:r>
            <w:r>
              <w:rPr>
                <w:rFonts w:cstheme="minorHAnsi"/>
                <w:b/>
                <w:sz w:val="18"/>
                <w:szCs w:val="20"/>
              </w:rPr>
              <w:t>OF THE PUBLIC, FOR THE PUBLIC</w:t>
            </w:r>
            <w:r w:rsidRPr="008B5D03">
              <w:rPr>
                <w:rFonts w:cstheme="minorHAnsi"/>
                <w:b/>
                <w:sz w:val="18"/>
                <w:szCs w:val="20"/>
              </w:rPr>
              <w:t>.</w:t>
            </w:r>
            <w:r w:rsidRPr="008B5D03">
              <w:rPr>
                <w:rFonts w:cstheme="minorHAnsi"/>
                <w:sz w:val="18"/>
                <w:szCs w:val="20"/>
              </w:rPr>
              <w:t xml:space="preserve"> </w:t>
            </w:r>
          </w:p>
          <w:p w14:paraId="3B6CD747" w14:textId="77777777" w:rsidR="00EF6304" w:rsidRPr="00A31B72" w:rsidRDefault="00EF6304" w:rsidP="00637D8E">
            <w:pPr>
              <w:rPr>
                <w:rFonts w:cstheme="minorHAnsi"/>
                <w:sz w:val="16"/>
                <w:szCs w:val="20"/>
              </w:rPr>
            </w:pPr>
            <w:r w:rsidRPr="00A31B72">
              <w:rPr>
                <w:rFonts w:cstheme="minorHAnsi"/>
                <w:sz w:val="16"/>
                <w:szCs w:val="20"/>
              </w:rPr>
              <w:t>We will:</w:t>
            </w:r>
          </w:p>
          <w:p w14:paraId="598B8C31" w14:textId="77777777" w:rsidR="00EF6304" w:rsidRPr="00A31B72" w:rsidRDefault="00EF6304" w:rsidP="00637D8E">
            <w:pPr>
              <w:rPr>
                <w:rFonts w:cstheme="minorHAnsi"/>
                <w:sz w:val="16"/>
                <w:szCs w:val="20"/>
              </w:rPr>
            </w:pPr>
            <w:r w:rsidRPr="00A31B72">
              <w:rPr>
                <w:rFonts w:cstheme="minorHAnsi"/>
                <w:sz w:val="16"/>
                <w:szCs w:val="20"/>
              </w:rPr>
              <w:t>• Eliminate all barriers to a great education.</w:t>
            </w:r>
          </w:p>
          <w:p w14:paraId="598E25FE" w14:textId="77777777" w:rsidR="00EF6304" w:rsidRPr="00A31B72" w:rsidRDefault="00EF6304" w:rsidP="00637D8E">
            <w:pPr>
              <w:rPr>
                <w:rFonts w:cstheme="minorHAnsi"/>
                <w:sz w:val="16"/>
                <w:szCs w:val="20"/>
              </w:rPr>
            </w:pPr>
            <w:r w:rsidRPr="00A31B72">
              <w:rPr>
                <w:rFonts w:cstheme="minorHAnsi"/>
                <w:sz w:val="16"/>
                <w:szCs w:val="20"/>
              </w:rPr>
              <w:t xml:space="preserve">• Bring expertise to bear for the benefit of North </w:t>
            </w:r>
            <w:r>
              <w:rPr>
                <w:rFonts w:cstheme="minorHAnsi"/>
                <w:sz w:val="16"/>
                <w:szCs w:val="20"/>
              </w:rPr>
              <w:br/>
              <w:t xml:space="preserve">   </w:t>
            </w:r>
            <w:r w:rsidRPr="00A31B72">
              <w:rPr>
                <w:rFonts w:cstheme="minorHAnsi"/>
                <w:sz w:val="16"/>
                <w:szCs w:val="20"/>
              </w:rPr>
              <w:t>Carolina and beyond.</w:t>
            </w:r>
          </w:p>
          <w:p w14:paraId="3D545438" w14:textId="77777777" w:rsidR="00EF6304" w:rsidRPr="00A31B72" w:rsidRDefault="00EF6304" w:rsidP="00637D8E">
            <w:pPr>
              <w:rPr>
                <w:rFonts w:cstheme="minorHAnsi"/>
                <w:sz w:val="16"/>
                <w:szCs w:val="20"/>
              </w:rPr>
            </w:pPr>
            <w:r w:rsidRPr="00A31B72">
              <w:rPr>
                <w:rFonts w:cstheme="minorHAnsi"/>
                <w:sz w:val="16"/>
                <w:szCs w:val="20"/>
              </w:rPr>
              <w:t xml:space="preserve">• Work for democracy: develop citizen-leaders </w:t>
            </w:r>
            <w:r>
              <w:rPr>
                <w:rFonts w:cstheme="minorHAnsi"/>
                <w:sz w:val="16"/>
                <w:szCs w:val="20"/>
              </w:rPr>
              <w:br/>
              <w:t xml:space="preserve">   </w:t>
            </w:r>
            <w:r w:rsidRPr="00A31B72">
              <w:rPr>
                <w:rFonts w:cstheme="minorHAnsi"/>
                <w:sz w:val="16"/>
                <w:szCs w:val="20"/>
              </w:rPr>
              <w:t xml:space="preserve">and encourage informed public discussion. </w:t>
            </w:r>
          </w:p>
          <w:p w14:paraId="672FC51A" w14:textId="77777777" w:rsidR="00EF6304" w:rsidRPr="00A31B72" w:rsidRDefault="00EF6304" w:rsidP="00637D8E">
            <w:pPr>
              <w:rPr>
                <w:rFonts w:cstheme="minorHAnsi"/>
                <w:sz w:val="16"/>
                <w:szCs w:val="20"/>
              </w:rPr>
            </w:pPr>
          </w:p>
          <w:p w14:paraId="2EA971B4" w14:textId="77777777" w:rsidR="00EF6304" w:rsidRPr="00A31B72" w:rsidRDefault="00EF6304" w:rsidP="00637D8E">
            <w:pPr>
              <w:rPr>
                <w:rFonts w:cstheme="minorHAnsi"/>
                <w:sz w:val="16"/>
                <w:szCs w:val="20"/>
              </w:rPr>
            </w:pPr>
            <w:r>
              <w:rPr>
                <w:rFonts w:cstheme="minorHAnsi"/>
                <w:b/>
                <w:sz w:val="18"/>
                <w:szCs w:val="20"/>
              </w:rPr>
              <w:t>Pillar 2 – INNOVATION MADE FUNDAMENTAL</w:t>
            </w:r>
            <w:r w:rsidRPr="008B5D03">
              <w:rPr>
                <w:rFonts w:cstheme="minorHAnsi"/>
                <w:sz w:val="18"/>
                <w:szCs w:val="20"/>
              </w:rPr>
              <w:t xml:space="preserve"> </w:t>
            </w:r>
            <w:r>
              <w:rPr>
                <w:rFonts w:cstheme="minorHAnsi"/>
                <w:sz w:val="16"/>
                <w:szCs w:val="20"/>
              </w:rPr>
              <w:br/>
            </w:r>
            <w:r w:rsidRPr="00A31B72">
              <w:rPr>
                <w:rFonts w:cstheme="minorHAnsi"/>
                <w:sz w:val="16"/>
                <w:szCs w:val="20"/>
              </w:rPr>
              <w:t>We will:</w:t>
            </w:r>
          </w:p>
          <w:p w14:paraId="357BD883" w14:textId="77777777" w:rsidR="00EF6304" w:rsidRPr="00A31B72" w:rsidRDefault="00EF6304" w:rsidP="00637D8E">
            <w:pPr>
              <w:rPr>
                <w:rFonts w:cstheme="minorHAnsi"/>
                <w:sz w:val="16"/>
                <w:szCs w:val="20"/>
              </w:rPr>
            </w:pPr>
            <w:r w:rsidRPr="00A31B72">
              <w:rPr>
                <w:rFonts w:cstheme="minorHAnsi"/>
                <w:sz w:val="16"/>
                <w:szCs w:val="20"/>
              </w:rPr>
              <w:t xml:space="preserve">• Value and prioritize foundational research and </w:t>
            </w:r>
          </w:p>
          <w:p w14:paraId="6B2DF66C" w14:textId="77777777" w:rsidR="00EF6304" w:rsidRPr="00A31B72" w:rsidRDefault="00EF6304" w:rsidP="00637D8E">
            <w:pPr>
              <w:rPr>
                <w:rFonts w:cstheme="minorHAnsi"/>
                <w:sz w:val="16"/>
                <w:szCs w:val="20"/>
              </w:rPr>
            </w:pPr>
            <w:r>
              <w:rPr>
                <w:rFonts w:cstheme="minorHAnsi"/>
                <w:sz w:val="16"/>
                <w:szCs w:val="20"/>
              </w:rPr>
              <w:t xml:space="preserve">   </w:t>
            </w:r>
            <w:r w:rsidRPr="00A31B72">
              <w:rPr>
                <w:rFonts w:cstheme="minorHAnsi"/>
                <w:sz w:val="16"/>
                <w:szCs w:val="20"/>
              </w:rPr>
              <w:t>creative practice.</w:t>
            </w:r>
          </w:p>
          <w:p w14:paraId="5D538F75" w14:textId="77777777" w:rsidR="00EF6304" w:rsidRPr="00A31B72" w:rsidRDefault="00EF6304" w:rsidP="00637D8E">
            <w:pPr>
              <w:rPr>
                <w:rFonts w:cstheme="minorHAnsi"/>
                <w:sz w:val="16"/>
                <w:szCs w:val="20"/>
              </w:rPr>
            </w:pPr>
            <w:r w:rsidRPr="00A31B72">
              <w:rPr>
                <w:rFonts w:cstheme="minorHAnsi"/>
                <w:sz w:val="16"/>
                <w:szCs w:val="20"/>
              </w:rPr>
              <w:t xml:space="preserve">• Meet the imperative for learning that is </w:t>
            </w:r>
            <w:r>
              <w:rPr>
                <w:rFonts w:cstheme="minorHAnsi"/>
                <w:sz w:val="16"/>
                <w:szCs w:val="20"/>
              </w:rPr>
              <w:t xml:space="preserve">  </w:t>
            </w:r>
            <w:r>
              <w:rPr>
                <w:rFonts w:cstheme="minorHAnsi"/>
                <w:sz w:val="16"/>
                <w:szCs w:val="20"/>
              </w:rPr>
              <w:br/>
              <w:t xml:space="preserve">   </w:t>
            </w:r>
            <w:r w:rsidRPr="00A31B72">
              <w:rPr>
                <w:rFonts w:cstheme="minorHAnsi"/>
                <w:sz w:val="16"/>
                <w:szCs w:val="20"/>
              </w:rPr>
              <w:t xml:space="preserve">personalized, experiential, collaborative, and </w:t>
            </w:r>
            <w:r>
              <w:rPr>
                <w:rFonts w:cstheme="minorHAnsi"/>
                <w:sz w:val="16"/>
                <w:szCs w:val="20"/>
              </w:rPr>
              <w:br/>
              <w:t xml:space="preserve">   </w:t>
            </w:r>
            <w:r w:rsidRPr="00A31B72">
              <w:rPr>
                <w:rFonts w:cstheme="minorHAnsi"/>
                <w:sz w:val="16"/>
                <w:szCs w:val="20"/>
              </w:rPr>
              <w:t>data-literate.</w:t>
            </w:r>
          </w:p>
          <w:p w14:paraId="69B37004" w14:textId="77777777" w:rsidR="00EF6304" w:rsidRPr="00A31B72" w:rsidRDefault="00EF6304" w:rsidP="00637D8E">
            <w:pPr>
              <w:rPr>
                <w:rFonts w:cstheme="minorHAnsi"/>
                <w:sz w:val="16"/>
                <w:szCs w:val="20"/>
              </w:rPr>
            </w:pPr>
            <w:r w:rsidRPr="00A31B72">
              <w:rPr>
                <w:rFonts w:cstheme="minorHAnsi"/>
                <w:sz w:val="16"/>
                <w:szCs w:val="20"/>
              </w:rPr>
              <w:t xml:space="preserve">• Translate research into professional, </w:t>
            </w:r>
            <w:r>
              <w:rPr>
                <w:rFonts w:cstheme="minorHAnsi"/>
                <w:sz w:val="16"/>
                <w:szCs w:val="20"/>
              </w:rPr>
              <w:br/>
              <w:t xml:space="preserve">    </w:t>
            </w:r>
            <w:r w:rsidRPr="00A31B72">
              <w:rPr>
                <w:rFonts w:cstheme="minorHAnsi"/>
                <w:sz w:val="16"/>
                <w:szCs w:val="20"/>
              </w:rPr>
              <w:t>commercial, and societal uses.</w:t>
            </w:r>
          </w:p>
          <w:p w14:paraId="23DD349A" w14:textId="77777777" w:rsidR="00EF6304" w:rsidRPr="00A31B72" w:rsidRDefault="00EF6304" w:rsidP="00637D8E">
            <w:pPr>
              <w:rPr>
                <w:rFonts w:cstheme="minorHAnsi"/>
                <w:sz w:val="16"/>
                <w:szCs w:val="20"/>
              </w:rPr>
            </w:pPr>
            <w:r w:rsidRPr="00A31B72">
              <w:rPr>
                <w:rFonts w:cstheme="minorHAnsi"/>
                <w:sz w:val="16"/>
                <w:szCs w:val="20"/>
              </w:rPr>
              <w:t>• Adapt to evolving workforce and student need</w:t>
            </w:r>
          </w:p>
          <w:p w14:paraId="7837C80A" w14:textId="77777777" w:rsidR="00EF6304" w:rsidRPr="008B5D03" w:rsidRDefault="00EF6304" w:rsidP="00637D8E">
            <w:pPr>
              <w:rPr>
                <w:rFonts w:cstheme="minorHAnsi"/>
                <w:sz w:val="18"/>
                <w:szCs w:val="20"/>
              </w:rPr>
            </w:pPr>
          </w:p>
          <w:p w14:paraId="0F022E82" w14:textId="77777777" w:rsidR="00EF6304" w:rsidRPr="008B5D03" w:rsidRDefault="00EF6304" w:rsidP="00637D8E">
            <w:pPr>
              <w:rPr>
                <w:rFonts w:cstheme="minorHAnsi"/>
                <w:b/>
                <w:sz w:val="18"/>
                <w:szCs w:val="20"/>
              </w:rPr>
            </w:pPr>
            <w:r w:rsidRPr="008B5D03">
              <w:rPr>
                <w:rFonts w:cstheme="minorHAnsi"/>
                <w:b/>
                <w:sz w:val="18"/>
                <w:szCs w:val="20"/>
              </w:rPr>
              <w:t>CROSS-CUTTING IMPERATIVES</w:t>
            </w:r>
          </w:p>
          <w:p w14:paraId="61BEE2E7" w14:textId="77777777" w:rsidR="00EF6304" w:rsidRPr="00A31B72" w:rsidRDefault="00EF6304" w:rsidP="00637D8E">
            <w:pPr>
              <w:rPr>
                <w:rFonts w:cstheme="minorHAnsi"/>
                <w:sz w:val="16"/>
                <w:szCs w:val="20"/>
              </w:rPr>
            </w:pPr>
            <w:r w:rsidRPr="00A31B72">
              <w:rPr>
                <w:rFonts w:cstheme="minorHAnsi"/>
                <w:sz w:val="16"/>
                <w:szCs w:val="20"/>
              </w:rPr>
              <w:t>• Aspire to preeminence.</w:t>
            </w:r>
          </w:p>
          <w:p w14:paraId="7313A22A" w14:textId="77777777" w:rsidR="00EF6304" w:rsidRPr="00A31B72" w:rsidRDefault="00EF6304" w:rsidP="00637D8E">
            <w:pPr>
              <w:rPr>
                <w:rFonts w:cstheme="minorHAnsi"/>
                <w:sz w:val="16"/>
                <w:szCs w:val="20"/>
              </w:rPr>
            </w:pPr>
            <w:r w:rsidRPr="00A31B72">
              <w:rPr>
                <w:rFonts w:cstheme="minorHAnsi"/>
                <w:sz w:val="16"/>
                <w:szCs w:val="20"/>
              </w:rPr>
              <w:t xml:space="preserve">• Help us serve as the economic powerhouse for </w:t>
            </w:r>
            <w:r>
              <w:rPr>
                <w:rFonts w:cstheme="minorHAnsi"/>
                <w:sz w:val="16"/>
                <w:szCs w:val="20"/>
              </w:rPr>
              <w:br/>
              <w:t xml:space="preserve">   </w:t>
            </w:r>
            <w:r w:rsidRPr="00A31B72">
              <w:rPr>
                <w:rFonts w:cstheme="minorHAnsi"/>
                <w:sz w:val="16"/>
                <w:szCs w:val="20"/>
              </w:rPr>
              <w:t>the state.</w:t>
            </w:r>
          </w:p>
          <w:p w14:paraId="534114D3" w14:textId="77777777" w:rsidR="00EF6304" w:rsidRPr="00A31B72" w:rsidRDefault="00EF6304" w:rsidP="00637D8E">
            <w:pPr>
              <w:rPr>
                <w:rFonts w:cstheme="minorHAnsi"/>
                <w:sz w:val="16"/>
                <w:szCs w:val="20"/>
              </w:rPr>
            </w:pPr>
            <w:r w:rsidRPr="00A31B72">
              <w:rPr>
                <w:rFonts w:cstheme="minorHAnsi"/>
                <w:sz w:val="16"/>
                <w:szCs w:val="20"/>
              </w:rPr>
              <w:t xml:space="preserve">• Prepare our graduates for the new economy and </w:t>
            </w:r>
            <w:r>
              <w:rPr>
                <w:rFonts w:cstheme="minorHAnsi"/>
                <w:sz w:val="16"/>
                <w:szCs w:val="20"/>
              </w:rPr>
              <w:br/>
              <w:t xml:space="preserve">   contemporary</w:t>
            </w:r>
            <w:r w:rsidRPr="00A31B72">
              <w:rPr>
                <w:rFonts w:cstheme="minorHAnsi"/>
                <w:sz w:val="16"/>
                <w:szCs w:val="20"/>
              </w:rPr>
              <w:t xml:space="preserve"> life.</w:t>
            </w:r>
          </w:p>
          <w:p w14:paraId="02C8CE54" w14:textId="77777777" w:rsidR="00EF6304" w:rsidRPr="00A31B72" w:rsidRDefault="00EF6304" w:rsidP="00637D8E">
            <w:pPr>
              <w:rPr>
                <w:rFonts w:cstheme="minorHAnsi"/>
                <w:sz w:val="16"/>
                <w:szCs w:val="20"/>
              </w:rPr>
            </w:pPr>
            <w:r w:rsidRPr="00A31B72">
              <w:rPr>
                <w:rFonts w:cstheme="minorHAnsi"/>
                <w:sz w:val="16"/>
                <w:szCs w:val="20"/>
              </w:rPr>
              <w:t>• Adopt a global mindset.</w:t>
            </w:r>
          </w:p>
          <w:p w14:paraId="6CA020AA" w14:textId="77777777" w:rsidR="00EF6304" w:rsidRPr="00A31B72" w:rsidRDefault="00EF6304" w:rsidP="00637D8E">
            <w:pPr>
              <w:rPr>
                <w:rFonts w:cstheme="minorHAnsi"/>
                <w:sz w:val="16"/>
                <w:szCs w:val="20"/>
              </w:rPr>
            </w:pPr>
            <w:r w:rsidRPr="00A31B72">
              <w:rPr>
                <w:rFonts w:cstheme="minorHAnsi"/>
                <w:sz w:val="16"/>
                <w:szCs w:val="20"/>
              </w:rPr>
              <w:t>• Address big societal questions</w:t>
            </w:r>
            <w:r>
              <w:rPr>
                <w:rFonts w:cstheme="minorHAnsi"/>
                <w:sz w:val="16"/>
                <w:szCs w:val="20"/>
              </w:rPr>
              <w:t>.</w:t>
            </w:r>
          </w:p>
          <w:p w14:paraId="561203C8" w14:textId="77777777" w:rsidR="00EF6304" w:rsidRPr="00A31B72" w:rsidRDefault="00EF6304" w:rsidP="00637D8E">
            <w:pPr>
              <w:rPr>
                <w:rFonts w:cstheme="minorHAnsi"/>
                <w:sz w:val="16"/>
                <w:szCs w:val="20"/>
              </w:rPr>
            </w:pPr>
          </w:p>
        </w:tc>
        <w:tc>
          <w:tcPr>
            <w:tcW w:w="3780" w:type="dxa"/>
            <w:shd w:val="clear" w:color="auto" w:fill="F2F2F2" w:themeFill="background1" w:themeFillShade="F2"/>
          </w:tcPr>
          <w:p w14:paraId="0C280153" w14:textId="77777777" w:rsidR="00EF6304" w:rsidRDefault="00EF6304" w:rsidP="00637D8E">
            <w:pPr>
              <w:shd w:val="clear" w:color="auto" w:fill="F2F2F2" w:themeFill="background1" w:themeFillShade="F2"/>
              <w:ind w:left="1"/>
              <w:contextualSpacing/>
              <w:rPr>
                <w:rFonts w:ascii="Calibri" w:hAnsi="Calibri"/>
                <w:sz w:val="14"/>
                <w:szCs w:val="20"/>
              </w:rPr>
            </w:pPr>
            <w:r w:rsidRPr="006C3FFC">
              <w:rPr>
                <w:rFonts w:ascii="Calibri" w:hAnsi="Calibri"/>
                <w:sz w:val="14"/>
                <w:szCs w:val="20"/>
              </w:rPr>
              <w:t>(</w:t>
            </w:r>
            <w:r w:rsidRPr="006C3FFC">
              <w:rPr>
                <w:rFonts w:ascii="Calibri" w:hAnsi="Calibri"/>
                <w:i/>
                <w:sz w:val="14"/>
                <w:szCs w:val="20"/>
              </w:rPr>
              <w:t>Refer to the HR website for more detailed descriptions of institutional goals. These will be rated on the annual appraisal on a 3-point scale (Not Meeting, Meeting, Exceeding Expectations</w:t>
            </w:r>
            <w:r w:rsidRPr="006C3FFC">
              <w:rPr>
                <w:rFonts w:ascii="Calibri" w:hAnsi="Calibri"/>
                <w:sz w:val="14"/>
                <w:szCs w:val="20"/>
              </w:rPr>
              <w:t>)</w:t>
            </w:r>
          </w:p>
          <w:p w14:paraId="75C795AE" w14:textId="77777777" w:rsidR="00EF6304" w:rsidRPr="00D634C2" w:rsidRDefault="00EF6304" w:rsidP="00637D8E">
            <w:pPr>
              <w:shd w:val="clear" w:color="auto" w:fill="F2F2F2" w:themeFill="background1" w:themeFillShade="F2"/>
              <w:ind w:left="1"/>
              <w:contextualSpacing/>
              <w:rPr>
                <w:rFonts w:ascii="Calibri" w:hAnsi="Calibri"/>
                <w:sz w:val="8"/>
                <w:szCs w:val="20"/>
              </w:rPr>
            </w:pPr>
          </w:p>
          <w:p w14:paraId="04C62DD3" w14:textId="77777777" w:rsidR="00EF6304" w:rsidRDefault="00EF6304" w:rsidP="00637D8E">
            <w:pPr>
              <w:shd w:val="clear" w:color="auto" w:fill="F2F2F2" w:themeFill="background1" w:themeFillShade="F2"/>
              <w:ind w:left="1"/>
              <w:contextualSpacing/>
              <w:rPr>
                <w:rFonts w:ascii="Calibri" w:hAnsi="Calibri"/>
                <w:sz w:val="16"/>
                <w:szCs w:val="20"/>
              </w:rPr>
            </w:pPr>
            <w:r w:rsidRPr="00D634C2">
              <w:rPr>
                <w:rFonts w:ascii="Calibri" w:hAnsi="Calibri"/>
                <w:b/>
                <w:sz w:val="18"/>
                <w:szCs w:val="20"/>
              </w:rPr>
              <w:t>EXPERTISE</w:t>
            </w:r>
            <w:r w:rsidRPr="00D634C2">
              <w:rPr>
                <w:rFonts w:ascii="Calibri" w:hAnsi="Calibri"/>
                <w:sz w:val="18"/>
                <w:szCs w:val="20"/>
              </w:rPr>
              <w:t xml:space="preserve">: </w:t>
            </w:r>
            <w:r w:rsidRPr="006C3FFC">
              <w:rPr>
                <w:rFonts w:ascii="Calibri" w:hAnsi="Calibri"/>
                <w:sz w:val="16"/>
                <w:szCs w:val="20"/>
              </w:rPr>
              <w:t xml:space="preserve">Produces work that is accurate, thorough, and demonstrates </w:t>
            </w:r>
            <w:proofErr w:type="gramStart"/>
            <w:r w:rsidRPr="006C3FFC">
              <w:rPr>
                <w:rFonts w:ascii="Calibri" w:hAnsi="Calibri"/>
                <w:sz w:val="16"/>
                <w:szCs w:val="20"/>
              </w:rPr>
              <w:t>sufficient</w:t>
            </w:r>
            <w:proofErr w:type="gramEnd"/>
            <w:r w:rsidRPr="006C3FFC">
              <w:rPr>
                <w:rFonts w:ascii="Calibri" w:hAnsi="Calibri"/>
                <w:sz w:val="16"/>
                <w:szCs w:val="20"/>
              </w:rPr>
              <w:t xml:space="preserve"> analysis and decision-making to meet the requirements of the employee’s position and profession. Maintains technical skills and relevant professional credentials.</w:t>
            </w:r>
          </w:p>
          <w:p w14:paraId="41D8A3A3" w14:textId="77777777" w:rsidR="00EF6304" w:rsidRPr="00D634C2" w:rsidRDefault="00EF6304" w:rsidP="00637D8E">
            <w:pPr>
              <w:shd w:val="clear" w:color="auto" w:fill="F2F2F2" w:themeFill="background1" w:themeFillShade="F2"/>
              <w:ind w:left="1"/>
              <w:contextualSpacing/>
              <w:rPr>
                <w:rFonts w:ascii="Calibri" w:hAnsi="Calibri"/>
                <w:sz w:val="14"/>
                <w:szCs w:val="20"/>
              </w:rPr>
            </w:pPr>
          </w:p>
          <w:p w14:paraId="2F0A6F98" w14:textId="77777777" w:rsidR="00EF6304" w:rsidRDefault="00EF6304" w:rsidP="00637D8E">
            <w:pPr>
              <w:shd w:val="clear" w:color="auto" w:fill="F2F2F2" w:themeFill="background1" w:themeFillShade="F2"/>
              <w:ind w:left="1"/>
              <w:contextualSpacing/>
              <w:rPr>
                <w:rFonts w:ascii="Calibri" w:hAnsi="Calibri"/>
                <w:sz w:val="16"/>
                <w:szCs w:val="20"/>
              </w:rPr>
            </w:pPr>
            <w:r w:rsidRPr="00D634C2">
              <w:rPr>
                <w:rFonts w:ascii="Calibri" w:hAnsi="Calibri"/>
                <w:b/>
                <w:sz w:val="18"/>
                <w:szCs w:val="20"/>
              </w:rPr>
              <w:t>ACCOUNTABILITY:</w:t>
            </w:r>
            <w:r w:rsidRPr="00D634C2">
              <w:rPr>
                <w:rFonts w:ascii="Calibri" w:hAnsi="Calibri"/>
                <w:sz w:val="18"/>
                <w:szCs w:val="20"/>
              </w:rPr>
              <w:t xml:space="preserve"> </w:t>
            </w:r>
            <w:r w:rsidRPr="006C3FFC">
              <w:rPr>
                <w:rFonts w:ascii="Calibri" w:hAnsi="Calibri"/>
                <w:sz w:val="16"/>
                <w:szCs w:val="20"/>
              </w:rPr>
              <w:t>Completes required volume of work by established deadlines and stays productive throughout workday. Takes sufficient/</w:t>
            </w:r>
            <w:r>
              <w:rPr>
                <w:rFonts w:ascii="Calibri" w:hAnsi="Calibri"/>
                <w:sz w:val="16"/>
                <w:szCs w:val="20"/>
              </w:rPr>
              <w:t xml:space="preserve"> </w:t>
            </w:r>
            <w:r w:rsidRPr="006C3FFC">
              <w:rPr>
                <w:rFonts w:ascii="Calibri" w:hAnsi="Calibri"/>
                <w:sz w:val="16"/>
                <w:szCs w:val="20"/>
              </w:rPr>
              <w:t>appropriate measures to plan and organize work, prioritize tasks, and set realistic goals.</w:t>
            </w:r>
          </w:p>
          <w:p w14:paraId="3E67E9B8" w14:textId="77777777" w:rsidR="00EF6304" w:rsidRPr="00D634C2" w:rsidRDefault="00EF6304" w:rsidP="00637D8E">
            <w:pPr>
              <w:shd w:val="clear" w:color="auto" w:fill="F2F2F2" w:themeFill="background1" w:themeFillShade="F2"/>
              <w:ind w:left="1"/>
              <w:contextualSpacing/>
              <w:rPr>
                <w:rFonts w:ascii="Calibri" w:hAnsi="Calibri"/>
                <w:sz w:val="12"/>
                <w:szCs w:val="20"/>
              </w:rPr>
            </w:pPr>
          </w:p>
          <w:p w14:paraId="337E06F8" w14:textId="77777777" w:rsidR="00EF6304" w:rsidRDefault="00EF6304" w:rsidP="00637D8E">
            <w:pPr>
              <w:shd w:val="clear" w:color="auto" w:fill="F2F2F2" w:themeFill="background1" w:themeFillShade="F2"/>
              <w:ind w:left="1"/>
              <w:contextualSpacing/>
              <w:rPr>
                <w:rFonts w:ascii="Calibri" w:hAnsi="Calibri"/>
                <w:sz w:val="16"/>
                <w:szCs w:val="20"/>
              </w:rPr>
            </w:pPr>
            <w:r w:rsidRPr="00D634C2">
              <w:rPr>
                <w:rFonts w:ascii="Calibri" w:hAnsi="Calibri"/>
                <w:b/>
                <w:sz w:val="18"/>
                <w:szCs w:val="20"/>
              </w:rPr>
              <w:t>CUSTOMER-ORIENTED:</w:t>
            </w:r>
            <w:r w:rsidRPr="006C3FFC">
              <w:rPr>
                <w:rFonts w:ascii="Calibri" w:hAnsi="Calibri"/>
                <w:sz w:val="16"/>
                <w:szCs w:val="20"/>
              </w:rPr>
              <w:t xml:space="preserve"> Listens to determine the most effective way to address customer needs and concerns. Follows through on commitments, despite time pressures or obstacles, and maintains relevant communication with customers until job is completed.</w:t>
            </w:r>
          </w:p>
          <w:p w14:paraId="04DE2ABE" w14:textId="77777777" w:rsidR="00EF6304" w:rsidRPr="00D634C2" w:rsidRDefault="00EF6304" w:rsidP="00637D8E">
            <w:pPr>
              <w:shd w:val="clear" w:color="auto" w:fill="F2F2F2" w:themeFill="background1" w:themeFillShade="F2"/>
              <w:ind w:left="1"/>
              <w:contextualSpacing/>
              <w:rPr>
                <w:rFonts w:ascii="Calibri" w:hAnsi="Calibri"/>
                <w:sz w:val="12"/>
                <w:szCs w:val="20"/>
              </w:rPr>
            </w:pPr>
          </w:p>
          <w:p w14:paraId="5A1A7BE9" w14:textId="77777777" w:rsidR="00EF6304" w:rsidRDefault="00EF6304" w:rsidP="00637D8E">
            <w:pPr>
              <w:ind w:left="1"/>
              <w:contextualSpacing/>
              <w:rPr>
                <w:rFonts w:ascii="Calibri" w:hAnsi="Calibri"/>
                <w:sz w:val="16"/>
                <w:szCs w:val="20"/>
              </w:rPr>
            </w:pPr>
            <w:r w:rsidRPr="00D634C2">
              <w:rPr>
                <w:rFonts w:ascii="Calibri" w:hAnsi="Calibri"/>
                <w:b/>
                <w:sz w:val="18"/>
                <w:szCs w:val="20"/>
              </w:rPr>
              <w:t>TEAM-ORIENTED:</w:t>
            </w:r>
            <w:r w:rsidRPr="006C3FFC">
              <w:rPr>
                <w:rFonts w:ascii="Calibri" w:hAnsi="Calibri"/>
                <w:sz w:val="16"/>
                <w:szCs w:val="20"/>
              </w:rPr>
              <w:t xml:space="preserve"> Communicates and engages directly, clearly, and tactfully with colleagues. Makes decisions with others in mind, and willingly performs additional duties when team members are absent, during times of increased workload, or as otherwise required by management to meet business needs.</w:t>
            </w:r>
          </w:p>
          <w:p w14:paraId="45107F06" w14:textId="77777777" w:rsidR="00EF6304" w:rsidRPr="00D634C2" w:rsidRDefault="00EF6304" w:rsidP="00637D8E">
            <w:pPr>
              <w:ind w:left="1"/>
              <w:contextualSpacing/>
              <w:rPr>
                <w:rFonts w:ascii="Calibri" w:hAnsi="Calibri"/>
                <w:sz w:val="12"/>
                <w:szCs w:val="20"/>
              </w:rPr>
            </w:pPr>
          </w:p>
          <w:p w14:paraId="24E5D9CE" w14:textId="77777777" w:rsidR="00EF6304" w:rsidRDefault="00EF6304" w:rsidP="00637D8E">
            <w:pPr>
              <w:ind w:left="1"/>
              <w:contextualSpacing/>
              <w:rPr>
                <w:rFonts w:ascii="Calibri" w:hAnsi="Calibri"/>
                <w:sz w:val="16"/>
                <w:szCs w:val="20"/>
              </w:rPr>
            </w:pPr>
            <w:r w:rsidRPr="00D634C2">
              <w:rPr>
                <w:rFonts w:ascii="Calibri" w:hAnsi="Calibri"/>
                <w:b/>
                <w:sz w:val="18"/>
                <w:szCs w:val="20"/>
              </w:rPr>
              <w:t>COMPLIANCE &amp; INTEGRITY:</w:t>
            </w:r>
            <w:r w:rsidRPr="006C3FFC">
              <w:rPr>
                <w:rFonts w:ascii="Calibri" w:hAnsi="Calibri"/>
                <w:sz w:val="16"/>
                <w:szCs w:val="20"/>
              </w:rPr>
              <w:t xml:space="preserve"> Complies with personnel and equal opportunity policies, including prohibitions on harassment, discrimination, and violence, and all other policies. Complies with all safety requirements for the position. </w:t>
            </w:r>
          </w:p>
          <w:p w14:paraId="20E17866" w14:textId="77777777" w:rsidR="00EF6304" w:rsidRPr="00D634C2" w:rsidRDefault="00EF6304" w:rsidP="00637D8E">
            <w:pPr>
              <w:ind w:left="1"/>
              <w:contextualSpacing/>
              <w:rPr>
                <w:rFonts w:ascii="Calibri" w:hAnsi="Calibri"/>
                <w:sz w:val="12"/>
                <w:szCs w:val="20"/>
              </w:rPr>
            </w:pPr>
          </w:p>
          <w:p w14:paraId="04D49C41" w14:textId="77777777" w:rsidR="00EF6304" w:rsidRDefault="00EF6304" w:rsidP="00637D8E">
            <w:pPr>
              <w:rPr>
                <w:rFonts w:cstheme="minorHAnsi"/>
                <w:szCs w:val="20"/>
              </w:rPr>
            </w:pPr>
            <w:r w:rsidRPr="00D634C2">
              <w:rPr>
                <w:rFonts w:ascii="Calibri" w:hAnsi="Calibri"/>
                <w:b/>
                <w:sz w:val="18"/>
                <w:szCs w:val="20"/>
              </w:rPr>
              <w:t xml:space="preserve">SUPERVISION </w:t>
            </w:r>
            <w:r w:rsidRPr="006C3FFC">
              <w:rPr>
                <w:rFonts w:ascii="Calibri" w:hAnsi="Calibri"/>
                <w:b/>
                <w:sz w:val="16"/>
                <w:szCs w:val="20"/>
              </w:rPr>
              <w:t>(For Supervisors Only):</w:t>
            </w:r>
            <w:r w:rsidRPr="006C3FFC">
              <w:rPr>
                <w:rFonts w:ascii="Calibri" w:hAnsi="Calibri"/>
                <w:sz w:val="16"/>
                <w:szCs w:val="20"/>
              </w:rPr>
              <w:t xml:space="preserve"> Provides adequate stewardship of assigned resources, including budget, space, equipment, and staffing. Provides clear objectives that foster work unit development and align with university values and goals.</w:t>
            </w:r>
          </w:p>
        </w:tc>
        <w:tc>
          <w:tcPr>
            <w:tcW w:w="3420" w:type="dxa"/>
          </w:tcPr>
          <w:p w14:paraId="6B7B09C1" w14:textId="77777777" w:rsidR="00EF6304" w:rsidRPr="00267766" w:rsidRDefault="00EF6304" w:rsidP="00637D8E">
            <w:pPr>
              <w:rPr>
                <w:rFonts w:cstheme="minorHAnsi"/>
                <w:i/>
                <w:szCs w:val="20"/>
              </w:rPr>
            </w:pPr>
            <w:r w:rsidRPr="00267766">
              <w:rPr>
                <w:rFonts w:cstheme="minorHAnsi"/>
                <w:i/>
                <w:sz w:val="20"/>
                <w:szCs w:val="20"/>
              </w:rPr>
              <w:t>Insert Division/School Goals Here</w:t>
            </w:r>
          </w:p>
        </w:tc>
      </w:tr>
    </w:tbl>
    <w:p w14:paraId="222AA725" w14:textId="77777777" w:rsidR="00EF6304" w:rsidRDefault="00EF6304" w:rsidP="00EF6304">
      <w:pPr>
        <w:spacing w:after="0"/>
        <w:rPr>
          <w:rFonts w:cstheme="minorHAnsi"/>
          <w:szCs w:val="20"/>
        </w:rPr>
        <w:sectPr w:rsidR="00EF6304" w:rsidSect="00930002">
          <w:pgSz w:w="15840" w:h="12240" w:orient="landscape"/>
          <w:pgMar w:top="720" w:right="720" w:bottom="720" w:left="720" w:header="720" w:footer="720" w:gutter="0"/>
          <w:cols w:space="720"/>
          <w:docGrid w:linePitch="360"/>
        </w:sectPr>
      </w:pPr>
    </w:p>
    <w:p w14:paraId="6B5C868F" w14:textId="77777777" w:rsidR="00C4108B" w:rsidRDefault="00EF6304">
      <w:bookmarkStart w:id="0" w:name="_GoBack"/>
      <w:bookmarkEnd w:id="0"/>
    </w:p>
    <w:sectPr w:rsidR="00C4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96F" w14:textId="77777777" w:rsidR="00543691" w:rsidRDefault="00EF6304" w:rsidP="00543691">
    <w:pPr>
      <w:pStyle w:val="Header"/>
      <w:rPr>
        <w:rFonts w:ascii="Calibri" w:hAnsi="Calibri"/>
        <w:b/>
        <w:color w:val="72260D"/>
        <w:sz w:val="28"/>
        <w:szCs w:val="28"/>
      </w:rPr>
    </w:pPr>
    <w:r w:rsidRPr="00F159A6">
      <w:rPr>
        <w:rFonts w:ascii="Calibri" w:hAnsi="Calibri"/>
        <w:noProof/>
        <w:sz w:val="24"/>
      </w:rPr>
      <mc:AlternateContent>
        <mc:Choice Requires="wps">
          <w:drawing>
            <wp:anchor distT="45720" distB="45720" distL="114300" distR="114300" simplePos="0" relativeHeight="251659264" behindDoc="0" locked="0" layoutInCell="1" allowOverlap="1" wp14:anchorId="3DB76335" wp14:editId="3F65BFEC">
              <wp:simplePos x="0" y="0"/>
              <wp:positionH relativeFrom="margin">
                <wp:align>right</wp:align>
              </wp:positionH>
              <wp:positionV relativeFrom="paragraph">
                <wp:posOffset>177165</wp:posOffset>
              </wp:positionV>
              <wp:extent cx="35718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4620"/>
                      </a:xfrm>
                      <a:prstGeom prst="rect">
                        <a:avLst/>
                      </a:prstGeom>
                      <a:solidFill>
                        <a:srgbClr val="FFFFFF"/>
                      </a:solidFill>
                      <a:ln w="9525">
                        <a:noFill/>
                        <a:miter lim="800000"/>
                        <a:headEnd/>
                        <a:tailEnd/>
                      </a:ln>
                    </wps:spPr>
                    <wps:txbx>
                      <w:txbxContent>
                        <w:p w14:paraId="595AF0BC" w14:textId="77777777" w:rsidR="00543691" w:rsidRDefault="00EF6304" w:rsidP="00543691">
                          <w:r w:rsidRPr="00917EB2">
                            <w:rPr>
                              <w:rFonts w:ascii="Calibri" w:hAnsi="Calibri"/>
                              <w:b/>
                              <w:noProof/>
                              <w:color w:val="2F5496" w:themeColor="accent1" w:themeShade="BF"/>
                              <w:sz w:val="28"/>
                              <w:szCs w:val="28"/>
                            </w:rPr>
                            <w:t>E</w:t>
                          </w:r>
                          <w:r w:rsidRPr="00917EB2">
                            <w:rPr>
                              <w:rFonts w:ascii="Calibri" w:hAnsi="Calibri"/>
                              <w:b/>
                              <w:color w:val="2F5496" w:themeColor="accent1" w:themeShade="BF"/>
                              <w:sz w:val="28"/>
                              <w:szCs w:val="28"/>
                            </w:rPr>
                            <w:t>HRA Non-Faculty Annual Performance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76335" id="_x0000_t202" coordsize="21600,21600" o:spt="202" path="m,l,21600r21600,l21600,xe">
              <v:stroke joinstyle="miter"/>
              <v:path gradientshapeok="t" o:connecttype="rect"/>
            </v:shapetype>
            <v:shape id="Text Box 2" o:spid="_x0000_s1026" type="#_x0000_t202" style="position:absolute;margin-left:230.05pt;margin-top:13.95pt;width:281.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" stroked="f">
              <v:textbox style="mso-fit-shape-to-text:t">
                <w:txbxContent>
                  <w:p w14:paraId="595AF0BC" w14:textId="77777777" w:rsidR="00543691" w:rsidRDefault="00EF6304" w:rsidP="00543691">
                    <w:r w:rsidRPr="00917EB2">
                      <w:rPr>
                        <w:rFonts w:ascii="Calibri" w:hAnsi="Calibri"/>
                        <w:b/>
                        <w:noProof/>
                        <w:color w:val="2F5496" w:themeColor="accent1" w:themeShade="BF"/>
                        <w:sz w:val="28"/>
                        <w:szCs w:val="28"/>
                      </w:rPr>
                      <w:t>E</w:t>
                    </w:r>
                    <w:r w:rsidRPr="00917EB2">
                      <w:rPr>
                        <w:rFonts w:ascii="Calibri" w:hAnsi="Calibri"/>
                        <w:b/>
                        <w:color w:val="2F5496" w:themeColor="accent1" w:themeShade="BF"/>
                        <w:sz w:val="28"/>
                        <w:szCs w:val="28"/>
                      </w:rPr>
                      <w:t>HRA Non-Faculty Annual Performance Goals</w:t>
                    </w:r>
                  </w:p>
                </w:txbxContent>
              </v:textbox>
              <w10:wrap type="square" anchorx="margin"/>
            </v:shape>
          </w:pict>
        </mc:Fallback>
      </mc:AlternateContent>
    </w:r>
    <w:r>
      <w:rPr>
        <w:rFonts w:cs="Arial"/>
        <w:b/>
        <w:noProof/>
        <w:color w:val="0D0D0D" w:themeColor="text1" w:themeTint="F2"/>
        <w:sz w:val="26"/>
        <w:szCs w:val="26"/>
      </w:rPr>
      <w:drawing>
        <wp:inline distT="0" distB="0" distL="0" distR="0" wp14:anchorId="3D808824" wp14:editId="06F3AAE4">
          <wp:extent cx="1767840" cy="6045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test.png"/>
                  <pic:cNvPicPr/>
                </pic:nvPicPr>
                <pic:blipFill>
                  <a:blip r:embed="rId1">
                    <a:extLst>
                      <a:ext uri="{28A0092B-C50C-407E-A947-70E740481C1C}">
                        <a14:useLocalDpi xmlns:a14="http://schemas.microsoft.com/office/drawing/2010/main" val="0"/>
                      </a:ext>
                    </a:extLst>
                  </a:blip>
                  <a:stretch>
                    <a:fillRect/>
                  </a:stretch>
                </pic:blipFill>
                <pic:spPr>
                  <a:xfrm>
                    <a:off x="0" y="0"/>
                    <a:ext cx="1849235" cy="632353"/>
                  </a:xfrm>
                  <a:prstGeom prst="rect">
                    <a:avLst/>
                  </a:prstGeom>
                </pic:spPr>
              </pic:pic>
            </a:graphicData>
          </a:graphic>
        </wp:inline>
      </w:drawing>
    </w:r>
    <w:r>
      <w:rPr>
        <w:rFonts w:ascii="Calibri" w:hAnsi="Calibri"/>
        <w:b/>
        <w:color w:val="72260D"/>
        <w:sz w:val="28"/>
        <w:szCs w:val="28"/>
      </w:rPr>
      <w:tab/>
    </w:r>
    <w:r>
      <w:rPr>
        <w:rFonts w:ascii="Calibri" w:hAnsi="Calibri"/>
        <w:b/>
        <w:color w:val="72260D"/>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95E"/>
    <w:multiLevelType w:val="hybridMultilevel"/>
    <w:tmpl w:val="C6E0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04"/>
    <w:rsid w:val="003427CA"/>
    <w:rsid w:val="00EF6304"/>
    <w:rsid w:val="00FE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4D02"/>
  <w15:chartTrackingRefBased/>
  <w15:docId w15:val="{B279F33F-7481-49A5-BBE9-88926E40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304"/>
    <w:pPr>
      <w:ind w:left="720"/>
      <w:contextualSpacing/>
    </w:pPr>
  </w:style>
  <w:style w:type="paragraph" w:styleId="Header">
    <w:name w:val="header"/>
    <w:basedOn w:val="Normal"/>
    <w:link w:val="HeaderChar"/>
    <w:uiPriority w:val="99"/>
    <w:unhideWhenUsed/>
    <w:rsid w:val="00EF6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04"/>
  </w:style>
  <w:style w:type="character" w:styleId="Hyperlink">
    <w:name w:val="Hyperlink"/>
    <w:basedOn w:val="DefaultParagraphFont"/>
    <w:unhideWhenUsed/>
    <w:rsid w:val="00EF6304"/>
    <w:rPr>
      <w:color w:val="0563C1" w:themeColor="hyperlink"/>
      <w:u w:val="single"/>
    </w:rPr>
  </w:style>
  <w:style w:type="paragraph" w:styleId="BalloonText">
    <w:name w:val="Balloon Text"/>
    <w:basedOn w:val="Normal"/>
    <w:link w:val="BalloonTextChar"/>
    <w:uiPriority w:val="99"/>
    <w:semiHidden/>
    <w:unhideWhenUsed/>
    <w:rsid w:val="00EF6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hr.unc.edu/managers/performance/ehra-evaluation/"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Eltschlager, Lisl Clair</dc:creator>
  <cp:keywords/>
  <dc:description/>
  <cp:lastModifiedBy>Eltschlager, Lisl Clair</cp:lastModifiedBy>
  <cp:revision>1</cp:revision>
  <dcterms:created xsi:type="dcterms:W3CDTF">2019-03-26T17:10:00Z</dcterms:created>
  <dcterms:modified xsi:type="dcterms:W3CDTF">2019-03-26T17:11:00Z</dcterms:modified>
</cp:coreProperties>
</file>