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407C" w14:textId="26ED20A9" w:rsidR="0071771D" w:rsidRDefault="0071771D" w:rsidP="0071771D">
      <w:pPr>
        <w:pStyle w:val="Title"/>
        <w:widowControl w:val="0"/>
        <w:snapToGrid w:val="0"/>
        <w:spacing w:before="100" w:beforeAutospacing="1" w:after="100" w:afterAutospacing="1"/>
        <w:contextualSpacing w:val="0"/>
      </w:pPr>
      <w:r>
        <w:t>Curricular Governance Process</w:t>
      </w:r>
    </w:p>
    <w:p w14:paraId="30EBCAB0" w14:textId="77777777" w:rsidR="0071771D" w:rsidRDefault="0071771D" w:rsidP="0071771D">
      <w:pPr>
        <w:pStyle w:val="Heading1"/>
        <w:keepNext w:val="0"/>
        <w:keepLines w:val="0"/>
        <w:widowControl w:val="0"/>
        <w:snapToGrid w:val="0"/>
        <w:spacing w:before="100" w:beforeAutospacing="1" w:after="100" w:afterAutospacing="1"/>
      </w:pPr>
      <w:r>
        <w:t>Overview</w:t>
      </w:r>
    </w:p>
    <w:p w14:paraId="60CB9315" w14:textId="77777777" w:rsidR="0071771D" w:rsidRPr="001A6869" w:rsidRDefault="0071771D" w:rsidP="0071771D">
      <w:r>
        <w:t>The following outlines the process based on the Curricular Governance document. The following process is a starting point and as we gain experience, we will continually revise the process.</w:t>
      </w:r>
    </w:p>
    <w:p w14:paraId="7CD681F7" w14:textId="77777777" w:rsidR="0071771D" w:rsidRDefault="0071771D" w:rsidP="0071771D">
      <w:pPr>
        <w:pStyle w:val="Heading1"/>
        <w:keepNext w:val="0"/>
        <w:keepLines w:val="0"/>
        <w:widowControl w:val="0"/>
        <w:snapToGrid w:val="0"/>
        <w:spacing w:before="100" w:beforeAutospacing="1" w:after="100" w:afterAutospacing="1"/>
      </w:pPr>
      <w:r>
        <w:t>Point of Entry</w:t>
      </w:r>
    </w:p>
    <w:p w14:paraId="4C44CBCD" w14:textId="77777777" w:rsidR="0071771D" w:rsidRDefault="0071771D" w:rsidP="0071771D">
      <w:r>
        <w:t xml:space="preserve">There could be multiple points of entry for curricular change. </w:t>
      </w:r>
    </w:p>
    <w:p w14:paraId="064B670B" w14:textId="37B1CA5F" w:rsidR="0071771D" w:rsidRDefault="006121C0" w:rsidP="0071771D">
      <w:pPr>
        <w:pStyle w:val="ListParagraph"/>
        <w:numPr>
          <w:ilvl w:val="0"/>
          <w:numId w:val="1"/>
        </w:numPr>
      </w:pPr>
      <w:r w:rsidRPr="006121C0">
        <w:rPr>
          <w:b/>
          <w:bCs/>
        </w:rPr>
        <w:t>Direct to Curriculum and Assessment Committee Leadership.</w:t>
      </w:r>
      <w:r>
        <w:t xml:space="preserve"> </w:t>
      </w:r>
      <w:r w:rsidR="0071771D">
        <w:t>Course revisions</w:t>
      </w:r>
      <w:r w:rsidR="00643726">
        <w:t xml:space="preserve"> (e.g., changes in assessments, </w:t>
      </w:r>
      <w:r w:rsidR="00F008BE">
        <w:t>grading, format) are submitted via an online form and</w:t>
      </w:r>
      <w:r w:rsidR="0071771D">
        <w:t xml:space="preserve"> go directly to the Curriculum and Assessment Committee Leadership Team. As such, the Curriculum and Assessment Committee leadership team may have to make the first decision </w:t>
      </w:r>
      <w:r w:rsidR="00D40CD6">
        <w:t>based on the Decision Matrix</w:t>
      </w:r>
      <w:r w:rsidR="00CC59A9">
        <w:t xml:space="preserve"> (located in Curricular Governance document)</w:t>
      </w:r>
    </w:p>
    <w:p w14:paraId="15BCD63C" w14:textId="5BCFDFC3" w:rsidR="0071771D" w:rsidRDefault="003B3C40" w:rsidP="0071771D">
      <w:pPr>
        <w:pStyle w:val="ListParagraph"/>
        <w:numPr>
          <w:ilvl w:val="0"/>
          <w:numId w:val="1"/>
        </w:numPr>
      </w:pPr>
      <w:r w:rsidRPr="003B3C40">
        <w:rPr>
          <w:b/>
          <w:bCs/>
        </w:rPr>
        <w:t>Other routes.</w:t>
      </w:r>
      <w:r>
        <w:t xml:space="preserve"> </w:t>
      </w:r>
      <w:r w:rsidR="0071771D">
        <w:t>Larger ideas for curricular change may come from a variety of sources</w:t>
      </w:r>
      <w:r w:rsidR="004B3204">
        <w:t xml:space="preserve"> (e.g., faculty, leadership)</w:t>
      </w:r>
      <w:r w:rsidR="0071771D">
        <w:t xml:space="preserve"> and </w:t>
      </w:r>
      <w:r w:rsidR="004B3204">
        <w:t>may</w:t>
      </w:r>
      <w:r w:rsidR="0071771D">
        <w:t xml:space="preserve"> feed into the Executive Associate Dean</w:t>
      </w:r>
      <w:r w:rsidR="004B3204">
        <w:t>-Chief Academic Officer</w:t>
      </w:r>
      <w:r w:rsidR="0071771D">
        <w:t xml:space="preserve">, the Associate Dean for Professional Education, or the Assistant Dean for Professional </w:t>
      </w:r>
      <w:r w:rsidR="004B3204">
        <w:t>Education</w:t>
      </w:r>
      <w:r w:rsidR="0071771D">
        <w:t xml:space="preserve">. In this case, the Assistant and Associate Dean for Professional Education </w:t>
      </w:r>
      <w:r w:rsidR="004B3204">
        <w:t xml:space="preserve">will triage the request accordingly. </w:t>
      </w:r>
    </w:p>
    <w:p w14:paraId="087368FB" w14:textId="77777777" w:rsidR="0071771D" w:rsidRDefault="0071771D" w:rsidP="0071771D">
      <w:pPr>
        <w:pStyle w:val="Heading1"/>
      </w:pPr>
      <w:r>
        <w:t>Process</w:t>
      </w:r>
    </w:p>
    <w:p w14:paraId="4E8F2CF7" w14:textId="77777777" w:rsidR="0071771D" w:rsidRDefault="0071771D" w:rsidP="0071771D">
      <w:pPr>
        <w:snapToGrid w:val="0"/>
        <w:spacing w:before="100" w:beforeAutospacing="1" w:after="100" w:afterAutospacing="1"/>
      </w:pPr>
      <w:r>
        <w:t>The overall process is outlined in Figure 1.</w:t>
      </w:r>
    </w:p>
    <w:p w14:paraId="65BCDA04" w14:textId="77777777" w:rsidR="0071771D" w:rsidRDefault="0071771D" w:rsidP="0071771D">
      <w:pPr>
        <w:pStyle w:val="Heading2"/>
      </w:pPr>
      <w:r>
        <w:t>The Request for Change</w:t>
      </w:r>
    </w:p>
    <w:p w14:paraId="1904C6F0" w14:textId="0FD3DFD3" w:rsidR="0071771D" w:rsidRDefault="0071771D" w:rsidP="0071771D">
      <w:pPr>
        <w:snapToGrid w:val="0"/>
        <w:spacing w:before="100" w:beforeAutospacing="1" w:after="100" w:afterAutospacing="1"/>
      </w:pPr>
      <w:r>
        <w:t>The Requestor is the one initiating the change. This can be a faculty member, curriculum subcommittee, or administrator</w:t>
      </w:r>
      <w:r w:rsidR="00636E85">
        <w:t xml:space="preserve"> (see Decision Matrix)</w:t>
      </w:r>
      <w:r>
        <w:t>.</w:t>
      </w:r>
    </w:p>
    <w:p w14:paraId="6750A5D9" w14:textId="77777777" w:rsidR="0071771D" w:rsidRDefault="0071771D" w:rsidP="0071771D">
      <w:pPr>
        <w:pStyle w:val="Heading2"/>
      </w:pPr>
      <w:r w:rsidRPr="00F62DA6">
        <w:t>Decision Point 1</w:t>
      </w:r>
    </w:p>
    <w:p w14:paraId="3A809DEA" w14:textId="50C82557" w:rsidR="00C5179B" w:rsidRDefault="0071771D" w:rsidP="0071771D">
      <w:pPr>
        <w:snapToGrid w:val="0"/>
        <w:spacing w:before="100" w:beforeAutospacing="1" w:after="100" w:afterAutospacing="1"/>
      </w:pPr>
      <w:r>
        <w:t xml:space="preserve">Does the proposed change impact the </w:t>
      </w:r>
      <w:r w:rsidRPr="00636E85">
        <w:rPr>
          <w:i/>
          <w:iCs/>
        </w:rPr>
        <w:t>Strategy or Philosophy</w:t>
      </w:r>
      <w:r>
        <w:t xml:space="preserve"> of the curriculum? This may include</w:t>
      </w:r>
      <w:r w:rsidR="004B3204">
        <w:t>,</w:t>
      </w:r>
      <w:r w:rsidR="00636E85">
        <w:t xml:space="preserve"> but</w:t>
      </w:r>
      <w:r w:rsidR="004B3204">
        <w:t xml:space="preserve"> is not limited to</w:t>
      </w:r>
      <w:r>
        <w:t xml:space="preserve">: </w:t>
      </w:r>
    </w:p>
    <w:p w14:paraId="5192B4BF" w14:textId="153D7BA4" w:rsidR="00C5179B" w:rsidRDefault="0071771D" w:rsidP="00C5179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</w:pPr>
      <w:r>
        <w:t>interest in starting a new pathway</w:t>
      </w:r>
      <w:r w:rsidR="004B3204">
        <w:t xml:space="preserve">, </w:t>
      </w:r>
      <w:r>
        <w:t>certificate</w:t>
      </w:r>
      <w:r w:rsidR="004B3204">
        <w:t xml:space="preserve"> program, or offering </w:t>
      </w:r>
      <w:proofErr w:type="gramStart"/>
      <w:r>
        <w:t>honors;</w:t>
      </w:r>
      <w:proofErr w:type="gramEnd"/>
      <w:r>
        <w:t xml:space="preserve"> </w:t>
      </w:r>
    </w:p>
    <w:p w14:paraId="498E7BF7" w14:textId="77777777" w:rsidR="00C5179B" w:rsidRDefault="0071771D" w:rsidP="00C5179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</w:pPr>
      <w:r>
        <w:t xml:space="preserve">adding or removing a core </w:t>
      </w:r>
      <w:proofErr w:type="gramStart"/>
      <w:r>
        <w:t>course;</w:t>
      </w:r>
      <w:proofErr w:type="gramEnd"/>
      <w:r>
        <w:t xml:space="preserve"> </w:t>
      </w:r>
    </w:p>
    <w:p w14:paraId="190F1679" w14:textId="77777777" w:rsidR="00C5179B" w:rsidRDefault="0071771D" w:rsidP="00C5179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</w:pPr>
      <w:r>
        <w:t xml:space="preserve">modifications to the co-curriculum or </w:t>
      </w:r>
      <w:proofErr w:type="gramStart"/>
      <w:r>
        <w:t>advising;</w:t>
      </w:r>
      <w:proofErr w:type="gramEnd"/>
      <w:r>
        <w:t xml:space="preserve"> </w:t>
      </w:r>
    </w:p>
    <w:p w14:paraId="45833E49" w14:textId="77777777" w:rsidR="00C5179B" w:rsidRDefault="0071771D" w:rsidP="00C5179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</w:pPr>
      <w:r>
        <w:t xml:space="preserve">modifications to student </w:t>
      </w:r>
      <w:proofErr w:type="gramStart"/>
      <w:r>
        <w:t>support;</w:t>
      </w:r>
      <w:proofErr w:type="gramEnd"/>
      <w:r>
        <w:t xml:space="preserve"> </w:t>
      </w:r>
    </w:p>
    <w:p w14:paraId="365BA1C8" w14:textId="527AC604" w:rsidR="00C5179B" w:rsidRDefault="0071771D" w:rsidP="00C5179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</w:pPr>
      <w:r>
        <w:t>modifications to the progressions or remediation process or policy</w:t>
      </w:r>
      <w:r w:rsidR="00C50E6B">
        <w:t xml:space="preserve"> for the </w:t>
      </w:r>
      <w:proofErr w:type="gramStart"/>
      <w:r w:rsidR="00C50E6B">
        <w:t>curriculum</w:t>
      </w:r>
      <w:r>
        <w:t>;</w:t>
      </w:r>
      <w:proofErr w:type="gramEnd"/>
      <w:r>
        <w:t xml:space="preserve"> </w:t>
      </w:r>
    </w:p>
    <w:p w14:paraId="491E3BFF" w14:textId="77777777" w:rsidR="00C5179B" w:rsidRDefault="0071771D" w:rsidP="00C5179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</w:pPr>
      <w:r>
        <w:t xml:space="preserve">modifications to the overall assessment or grading plan of the </w:t>
      </w:r>
      <w:proofErr w:type="gramStart"/>
      <w:r>
        <w:t>curriculum;</w:t>
      </w:r>
      <w:proofErr w:type="gramEnd"/>
      <w:r>
        <w:t xml:space="preserve"> </w:t>
      </w:r>
    </w:p>
    <w:p w14:paraId="1BF76CAC" w14:textId="72BD1260" w:rsidR="0071771D" w:rsidRDefault="0071771D" w:rsidP="00C5179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</w:pPr>
      <w:r>
        <w:lastRenderedPageBreak/>
        <w:t xml:space="preserve">novel electives or delivery of courses (e.g., asynchronous, study abroad, </w:t>
      </w:r>
      <w:r w:rsidR="004B3204">
        <w:t xml:space="preserve">taking online </w:t>
      </w:r>
      <w:r>
        <w:t xml:space="preserve">courses during </w:t>
      </w:r>
      <w:r w:rsidR="004B3204">
        <w:t>immersion</w:t>
      </w:r>
      <w:r w:rsidR="007E58AF">
        <w:t>)</w:t>
      </w:r>
    </w:p>
    <w:p w14:paraId="7E10B91B" w14:textId="77777777" w:rsidR="0071771D" w:rsidRDefault="0071771D" w:rsidP="0071771D">
      <w:pPr>
        <w:snapToGrid w:val="0"/>
        <w:spacing w:before="100" w:beforeAutospacing="1" w:after="100" w:afterAutospacing="1"/>
      </w:pPr>
      <w:r>
        <w:t xml:space="preserve">If </w:t>
      </w:r>
      <w:proofErr w:type="gramStart"/>
      <w:r w:rsidRPr="007E58AF">
        <w:rPr>
          <w:u w:val="single"/>
        </w:rPr>
        <w:t>Yes</w:t>
      </w:r>
      <w:proofErr w:type="gramEnd"/>
      <w:r>
        <w:t xml:space="preserve">, then the first Input is the </w:t>
      </w:r>
      <w:r w:rsidRPr="003E0870">
        <w:rPr>
          <w:i/>
          <w:iCs/>
        </w:rPr>
        <w:t>Professional Program Leadership Team</w:t>
      </w:r>
      <w:r>
        <w:t>.</w:t>
      </w:r>
    </w:p>
    <w:p w14:paraId="629A2A9B" w14:textId="37BEB590" w:rsidR="0071771D" w:rsidRDefault="0071771D" w:rsidP="007E58AF">
      <w:pPr>
        <w:snapToGrid w:val="0"/>
        <w:spacing w:before="100" w:beforeAutospacing="1" w:after="100" w:afterAutospacing="1"/>
      </w:pPr>
      <w:r>
        <w:t xml:space="preserve">If </w:t>
      </w:r>
      <w:r w:rsidRPr="007E58AF">
        <w:rPr>
          <w:u w:val="single"/>
        </w:rPr>
        <w:t>No</w:t>
      </w:r>
      <w:r>
        <w:t xml:space="preserve">, </w:t>
      </w:r>
      <w:r w:rsidR="004B3204">
        <w:t xml:space="preserve">and the matters are primarily concerning operations and implementation, </w:t>
      </w:r>
      <w:r>
        <w:t xml:space="preserve">then the first Input is the </w:t>
      </w:r>
      <w:r w:rsidRPr="003E0870">
        <w:rPr>
          <w:i/>
          <w:iCs/>
        </w:rPr>
        <w:t>Curriculum and Assessment Committee Leadership Team</w:t>
      </w:r>
      <w:r>
        <w:t xml:space="preserve">.  These changes would be viewed as more </w:t>
      </w:r>
      <w:r w:rsidRPr="00F73FFF">
        <w:rPr>
          <w:i/>
          <w:iCs/>
        </w:rPr>
        <w:t>operational</w:t>
      </w:r>
      <w:r>
        <w:t>.</w:t>
      </w:r>
    </w:p>
    <w:p w14:paraId="4F61686E" w14:textId="77777777" w:rsidR="0071771D" w:rsidRDefault="0071771D" w:rsidP="0071771D">
      <w:pPr>
        <w:pStyle w:val="Heading2"/>
      </w:pPr>
      <w:r>
        <w:t>Decision Point 2.</w:t>
      </w:r>
    </w:p>
    <w:p w14:paraId="66F021EB" w14:textId="1C446E8A" w:rsidR="0071771D" w:rsidRDefault="0071771D" w:rsidP="0071771D">
      <w:pPr>
        <w:snapToGrid w:val="0"/>
        <w:spacing w:before="100" w:beforeAutospacing="1" w:after="100" w:afterAutospacing="1"/>
      </w:pPr>
      <w:r>
        <w:t xml:space="preserve">If the </w:t>
      </w:r>
      <w:r w:rsidRPr="00F73FFF">
        <w:rPr>
          <w:i/>
          <w:iCs/>
        </w:rPr>
        <w:t>Professional Program Leadership Team</w:t>
      </w:r>
      <w:r>
        <w:t xml:space="preserve"> was Decision 1, then the committee will meet, discuss, and summarize their recommendations for next steps. While the </w:t>
      </w:r>
      <w:r w:rsidRPr="003E0870">
        <w:rPr>
          <w:i/>
          <w:iCs/>
        </w:rPr>
        <w:t xml:space="preserve">Professional Program Leadership Team </w:t>
      </w:r>
      <w:r>
        <w:t xml:space="preserve">may support or recommend a plan of action, it is ultimately up to the </w:t>
      </w:r>
      <w:r w:rsidRPr="00366456">
        <w:rPr>
          <w:i/>
          <w:iCs/>
        </w:rPr>
        <w:t>Curriculum and Assessment Committee</w:t>
      </w:r>
      <w:r>
        <w:t xml:space="preserve"> to decide whether to endorse and operationalize the plan or not endorse the plan.</w:t>
      </w:r>
    </w:p>
    <w:p w14:paraId="25522C09" w14:textId="4571BB32" w:rsidR="0071771D" w:rsidRDefault="0071771D" w:rsidP="0071771D">
      <w:pPr>
        <w:snapToGrid w:val="0"/>
        <w:spacing w:before="100" w:beforeAutospacing="1" w:after="100" w:afterAutospacing="1"/>
      </w:pPr>
      <w:r>
        <w:t xml:space="preserve">If the </w:t>
      </w:r>
      <w:r w:rsidRPr="002A7F7A">
        <w:rPr>
          <w:i/>
          <w:iCs/>
        </w:rPr>
        <w:t>Curriculum and Assessment Committee Leadership Team</w:t>
      </w:r>
      <w:r>
        <w:t xml:space="preserve"> was Decision 1, the team decides whether they can make the decision or does the entire </w:t>
      </w:r>
      <w:r w:rsidRPr="008479EB">
        <w:rPr>
          <w:i/>
          <w:iCs/>
        </w:rPr>
        <w:t>Curriculum and Assessment Committee</w:t>
      </w:r>
      <w:r>
        <w:t xml:space="preserve"> need to endorse the change</w:t>
      </w:r>
      <w:r w:rsidR="00663C09">
        <w:t xml:space="preserve"> (see Decision Matrix)</w:t>
      </w:r>
      <w:r>
        <w:t>. If it is the Leadership Team, then the summary of the decision is shared with the Committee.</w:t>
      </w:r>
    </w:p>
    <w:p w14:paraId="5C700BD1" w14:textId="35D6D39C" w:rsidR="0071771D" w:rsidRDefault="0071771D" w:rsidP="0071771D">
      <w:pPr>
        <w:snapToGrid w:val="0"/>
        <w:spacing w:before="100" w:beforeAutospacing="1" w:after="100" w:afterAutospacing="1"/>
      </w:pPr>
      <w:r>
        <w:t xml:space="preserve">If the </w:t>
      </w:r>
      <w:r w:rsidRPr="008479EB">
        <w:rPr>
          <w:i/>
          <w:iCs/>
        </w:rPr>
        <w:t>Committee</w:t>
      </w:r>
      <w:r>
        <w:t xml:space="preserve"> is the final </w:t>
      </w:r>
      <w:r w:rsidR="007E0E6F">
        <w:t>decision,</w:t>
      </w:r>
      <w:r>
        <w:t xml:space="preserve"> then it is up </w:t>
      </w:r>
      <w:r w:rsidR="004B3204">
        <w:t>to</w:t>
      </w:r>
      <w:r>
        <w:t xml:space="preserve"> the</w:t>
      </w:r>
      <w:r w:rsidR="004B0E42">
        <w:t xml:space="preserve"> Curriculum and Assessment Committee</w:t>
      </w:r>
      <w:r>
        <w:t xml:space="preserve"> leadership team to decide next steps. In the ideal situation, one or more the subcommittees may be asked to discuss and provide a recommendation back to the </w:t>
      </w:r>
      <w:r w:rsidRPr="00E87EE5">
        <w:rPr>
          <w:i/>
          <w:iCs/>
        </w:rPr>
        <w:t>Committee</w:t>
      </w:r>
      <w:r>
        <w:t xml:space="preserve"> prior to any vote of endorsement.</w:t>
      </w:r>
    </w:p>
    <w:p w14:paraId="518233C1" w14:textId="77777777" w:rsidR="0071771D" w:rsidRDefault="0071771D" w:rsidP="0071771D">
      <w:pPr>
        <w:pStyle w:val="Heading1"/>
      </w:pPr>
      <w:r>
        <w:t>Examples</w:t>
      </w:r>
    </w:p>
    <w:p w14:paraId="0B08635C" w14:textId="77777777" w:rsidR="0071771D" w:rsidRDefault="0071771D" w:rsidP="0071771D">
      <w:pPr>
        <w:pStyle w:val="Heading2"/>
      </w:pPr>
      <w:r>
        <w:t>Change a rubric for a course within a pharmacotherapy course.</w:t>
      </w:r>
    </w:p>
    <w:p w14:paraId="5BD877A5" w14:textId="0D80D29B" w:rsidR="0071771D" w:rsidRDefault="0071771D" w:rsidP="0071771D">
      <w:pPr>
        <w:snapToGrid w:val="0"/>
        <w:spacing w:before="100" w:beforeAutospacing="1" w:after="100" w:afterAutospacing="1"/>
      </w:pPr>
      <w:r>
        <w:t xml:space="preserve">Does it challenge the </w:t>
      </w:r>
      <w:r w:rsidRPr="00277653">
        <w:rPr>
          <w:i/>
          <w:iCs/>
        </w:rPr>
        <w:t>Strategy and Philosophy</w:t>
      </w:r>
      <w:r>
        <w:t xml:space="preserve"> of the PharmD Program? Probably not. Thus, there are 2 options. Option 1, seek input from the Pharmacotherapy Subcommittee and document the input received (see Process Form Verification). The Pharmacotherapy Subcommittee can discuss the proposal, provide feedback, build consensus, and/or share with faculty within their respective course for additional input. Once the input is sought and any revisions made, then it can be forwarded to the </w:t>
      </w:r>
      <w:r w:rsidRPr="00582D40">
        <w:rPr>
          <w:i/>
          <w:iCs/>
        </w:rPr>
        <w:t>Curriculum and Assessment Committee Leadership Team</w:t>
      </w:r>
      <w:r>
        <w:rPr>
          <w:i/>
          <w:iCs/>
        </w:rPr>
        <w:t xml:space="preserve"> </w:t>
      </w:r>
      <w:r>
        <w:t>for verification of process and agenda setting. If the leadership team feels enough due diligence was done, it can go to the full committee for a vote. If the leadership team feels more due diligence is required, it will seek out that additional input. Then all input and feedback would be provided to the full Committee for vote.</w:t>
      </w:r>
      <w:r w:rsidR="00705644">
        <w:t xml:space="preserve"> Note: the subcommittee does not have to endorse or support a proposal</w:t>
      </w:r>
      <w:r w:rsidR="00180C32">
        <w:t xml:space="preserve"> for it to be endorsed by the Curriculum and Assessment Committee</w:t>
      </w:r>
      <w:r w:rsidR="004B3204">
        <w:t>, but a good practice would be that the subcommittee reaches consensus on the importance of moving it forward for endorsement by Curriculum and Assessment Committee</w:t>
      </w:r>
      <w:r w:rsidR="00180C32">
        <w:t xml:space="preserve">. </w:t>
      </w:r>
    </w:p>
    <w:p w14:paraId="1A72C9C3" w14:textId="77777777" w:rsidR="0071771D" w:rsidRDefault="0071771D" w:rsidP="0071771D">
      <w:pPr>
        <w:pStyle w:val="Heading2"/>
        <w:snapToGrid w:val="0"/>
        <w:spacing w:before="100" w:beforeAutospacing="1" w:after="100" w:afterAutospacing="1"/>
      </w:pPr>
      <w:r>
        <w:lastRenderedPageBreak/>
        <w:t xml:space="preserve">Developing an elective that would be delivered </w:t>
      </w:r>
      <w:proofErr w:type="gramStart"/>
      <w:r>
        <w:t>asynchronously</w:t>
      </w:r>
      <w:proofErr w:type="gramEnd"/>
    </w:p>
    <w:p w14:paraId="40B308FE" w14:textId="2D84037D" w:rsidR="0071771D" w:rsidRPr="00E64D9E" w:rsidRDefault="0071771D" w:rsidP="0071771D">
      <w:pPr>
        <w:snapToGrid w:val="0"/>
        <w:spacing w:before="100" w:beforeAutospacing="1" w:after="100" w:afterAutospacing="1"/>
      </w:pPr>
      <w:r>
        <w:t xml:space="preserve">This probably challenges the current philosophy of the </w:t>
      </w:r>
      <w:proofErr w:type="gramStart"/>
      <w:r>
        <w:t>School</w:t>
      </w:r>
      <w:proofErr w:type="gramEnd"/>
      <w:r>
        <w:t xml:space="preserve"> and</w:t>
      </w:r>
      <w:r w:rsidR="00F9352B">
        <w:t>,</w:t>
      </w:r>
      <w:r>
        <w:t xml:space="preserve"> as such</w:t>
      </w:r>
      <w:r w:rsidR="00F9352B">
        <w:t>,</w:t>
      </w:r>
      <w:r>
        <w:t xml:space="preserve"> the first input would be the </w:t>
      </w:r>
      <w:r w:rsidRPr="00A7601C">
        <w:rPr>
          <w:i/>
          <w:iCs/>
        </w:rPr>
        <w:t>Professional Program Leadership Team</w:t>
      </w:r>
      <w:r>
        <w:t xml:space="preserve">. The team will discuss the proposal, potentially seek additional input, and provide a </w:t>
      </w:r>
      <w:r w:rsidR="00FF5EFF">
        <w:t>summary</w:t>
      </w:r>
      <w:r w:rsidR="0016441B">
        <w:t xml:space="preserve"> of the discussion</w:t>
      </w:r>
      <w:r>
        <w:t xml:space="preserve"> to the Requestor and the </w:t>
      </w:r>
      <w:r w:rsidRPr="00A11A50">
        <w:rPr>
          <w:i/>
          <w:iCs/>
        </w:rPr>
        <w:t xml:space="preserve">Curriculum and Assessment Committee </w:t>
      </w:r>
      <w:r>
        <w:rPr>
          <w:i/>
          <w:iCs/>
        </w:rPr>
        <w:t>L</w:t>
      </w:r>
      <w:r w:rsidRPr="00A11A50">
        <w:rPr>
          <w:i/>
          <w:iCs/>
        </w:rPr>
        <w:t xml:space="preserve">eadership </w:t>
      </w:r>
      <w:r>
        <w:rPr>
          <w:i/>
          <w:iCs/>
        </w:rPr>
        <w:t>T</w:t>
      </w:r>
      <w:r w:rsidRPr="00A11A50">
        <w:rPr>
          <w:i/>
          <w:iCs/>
        </w:rPr>
        <w:t>eam</w:t>
      </w:r>
      <w:r>
        <w:t>.</w:t>
      </w:r>
      <w:r w:rsidR="00B43D81">
        <w:t xml:space="preserve"> </w:t>
      </w:r>
      <w:r>
        <w:t xml:space="preserve">The proposal will then go the </w:t>
      </w:r>
      <w:r w:rsidRPr="00A11A50">
        <w:rPr>
          <w:i/>
          <w:iCs/>
        </w:rPr>
        <w:t xml:space="preserve">Curriculum and Assessment Committee Leadership Team </w:t>
      </w:r>
      <w:r>
        <w:t xml:space="preserve">to decide next steps. Because it is an elective, the </w:t>
      </w:r>
      <w:r w:rsidRPr="0053625E">
        <w:rPr>
          <w:i/>
          <w:iCs/>
        </w:rPr>
        <w:t>Individualization Subcommittee</w:t>
      </w:r>
      <w:r>
        <w:t xml:space="preserve"> may be asked to weigh in and provide a recommendation to the full Committee.</w:t>
      </w:r>
      <w:r w:rsidR="002C5147">
        <w:t xml:space="preserve"> </w:t>
      </w:r>
      <w:r w:rsidR="00D0198F">
        <w:t>The full committee can then discuss the approval of the elective.</w:t>
      </w:r>
      <w:r w:rsidR="00E64D9E">
        <w:t xml:space="preserve"> If the </w:t>
      </w:r>
      <w:r w:rsidR="00E64D9E" w:rsidRPr="00A7601C">
        <w:rPr>
          <w:i/>
          <w:iCs/>
        </w:rPr>
        <w:t>Professional Program Leadership Team</w:t>
      </w:r>
      <w:r w:rsidR="00E64D9E">
        <w:rPr>
          <w:i/>
          <w:iCs/>
        </w:rPr>
        <w:t xml:space="preserve"> </w:t>
      </w:r>
      <w:r w:rsidR="003346C7">
        <w:t xml:space="preserve">endorses an asynchronous course, the </w:t>
      </w:r>
      <w:r w:rsidR="003346C7" w:rsidRPr="00F64E6C">
        <w:rPr>
          <w:i/>
          <w:iCs/>
        </w:rPr>
        <w:t>Curriculum and Assessment Committee</w:t>
      </w:r>
      <w:r w:rsidR="003346C7">
        <w:t xml:space="preserve"> does not </w:t>
      </w:r>
      <w:r w:rsidR="004D6E4B">
        <w:t xml:space="preserve">necessarily </w:t>
      </w:r>
      <w:r w:rsidR="003346C7">
        <w:t>need to approve</w:t>
      </w:r>
      <w:r w:rsidR="004D6E4B">
        <w:t xml:space="preserve"> </w:t>
      </w:r>
      <w:r w:rsidR="00821D5C">
        <w:t>the philosophy of whether the curriculum should offer asynchronous elective</w:t>
      </w:r>
      <w:r w:rsidR="002179E9">
        <w:t>s</w:t>
      </w:r>
      <w:r w:rsidR="004D6E4B">
        <w:t>. The approval of the elective</w:t>
      </w:r>
      <w:r w:rsidR="00F45A52">
        <w:t xml:space="preserve"> would consider </w:t>
      </w:r>
      <w:r w:rsidR="00EA416C">
        <w:t xml:space="preserve">such </w:t>
      </w:r>
      <w:r w:rsidR="009C3D3D">
        <w:t>issues</w:t>
      </w:r>
      <w:r w:rsidR="00EA416C">
        <w:t xml:space="preserve"> as ensuring </w:t>
      </w:r>
      <w:r w:rsidR="00F45A52">
        <w:t>quality</w:t>
      </w:r>
      <w:r w:rsidR="009C3D3D">
        <w:t xml:space="preserve"> of the course,</w:t>
      </w:r>
      <w:r w:rsidR="00EA416C">
        <w:t xml:space="preserve"> </w:t>
      </w:r>
      <w:r w:rsidR="00F45A52">
        <w:t xml:space="preserve">consistency </w:t>
      </w:r>
      <w:r w:rsidR="006F40A2">
        <w:t xml:space="preserve">in the </w:t>
      </w:r>
      <w:r w:rsidR="00F45A52">
        <w:t xml:space="preserve">delivery of </w:t>
      </w:r>
      <w:r w:rsidR="007E16E0">
        <w:t>elective</w:t>
      </w:r>
      <w:r w:rsidR="00C038FB">
        <w:t xml:space="preserve">, </w:t>
      </w:r>
      <w:r w:rsidR="009D1A1B">
        <w:t>appropriate credit hours, and other operational issues</w:t>
      </w:r>
      <w:r w:rsidR="007E16E0">
        <w:t>.</w:t>
      </w:r>
      <w:r w:rsidR="004D6E4B">
        <w:t xml:space="preserve"> </w:t>
      </w:r>
    </w:p>
    <w:p w14:paraId="2F6CD93B" w14:textId="77777777" w:rsidR="0071771D" w:rsidRDefault="0071771D" w:rsidP="0071771D">
      <w:pPr>
        <w:pStyle w:val="Heading2"/>
        <w:snapToGrid w:val="0"/>
        <w:spacing w:before="100" w:beforeAutospacing="1" w:after="100" w:afterAutospacing="1"/>
      </w:pPr>
      <w:r>
        <w:t xml:space="preserve">Proposal to develop a co-curricular career development </w:t>
      </w:r>
      <w:proofErr w:type="gramStart"/>
      <w:r>
        <w:t>series</w:t>
      </w:r>
      <w:proofErr w:type="gramEnd"/>
    </w:p>
    <w:p w14:paraId="7DD687EB" w14:textId="7DB37E0A" w:rsidR="0071771D" w:rsidRPr="00CC5E97" w:rsidRDefault="0071771D" w:rsidP="0071771D">
      <w:r>
        <w:t xml:space="preserve">Because this may span multiple areas of the </w:t>
      </w:r>
      <w:proofErr w:type="gramStart"/>
      <w:r>
        <w:t>School</w:t>
      </w:r>
      <w:proofErr w:type="gramEnd"/>
      <w:r>
        <w:t xml:space="preserve"> the first input is the </w:t>
      </w:r>
      <w:r w:rsidRPr="00CC5E97">
        <w:rPr>
          <w:i/>
          <w:iCs/>
        </w:rPr>
        <w:t>Professional Program Leadership Team</w:t>
      </w:r>
      <w:r>
        <w:rPr>
          <w:i/>
          <w:iCs/>
        </w:rPr>
        <w:t xml:space="preserve">. </w:t>
      </w:r>
      <w:r>
        <w:t xml:space="preserve">After discussion, </w:t>
      </w:r>
      <w:r w:rsidR="002C5147">
        <w:t xml:space="preserve">if there is </w:t>
      </w:r>
      <w:proofErr w:type="gramStart"/>
      <w:r w:rsidR="002C5147">
        <w:t>support</w:t>
      </w:r>
      <w:proofErr w:type="gramEnd"/>
      <w:r w:rsidR="002C5147">
        <w:t xml:space="preserve"> to advance the proposal, </w:t>
      </w:r>
      <w:r>
        <w:t>recommendations</w:t>
      </w:r>
      <w:r w:rsidR="008064B3">
        <w:t xml:space="preserve"> </w:t>
      </w:r>
      <w:r>
        <w:t>will be provided to the Requestor</w:t>
      </w:r>
      <w:r w:rsidR="002C5147">
        <w:t xml:space="preserve"> and advanced to the Curriculum and Assessment Committee</w:t>
      </w:r>
      <w:r>
        <w:t xml:space="preserve">. The second input would be the </w:t>
      </w:r>
      <w:r w:rsidRPr="00382452">
        <w:rPr>
          <w:i/>
          <w:iCs/>
        </w:rPr>
        <w:t>Curriculum and Assessment Committee</w:t>
      </w:r>
      <w:r>
        <w:t xml:space="preserve">. While this is a co-curricular series, there may be overlap with core or elective courses. The Committee would discuss and provide recommendations to the Requestor. </w:t>
      </w:r>
      <w:r w:rsidR="002C5147">
        <w:t xml:space="preserve">There is no need for a formal vote or approval. </w:t>
      </w:r>
      <w:r>
        <w:t>The Requestor can take the feedback and implement.</w:t>
      </w:r>
      <w:r w:rsidR="0088623C">
        <w:t xml:space="preserve"> The final decision will be based on the Decision Matrix.</w:t>
      </w:r>
    </w:p>
    <w:p w14:paraId="2A293A42" w14:textId="77777777" w:rsidR="0071771D" w:rsidRDefault="0071771D" w:rsidP="0071771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ACC16F" w14:textId="77777777" w:rsidR="0071771D" w:rsidRDefault="0071771D" w:rsidP="0071771D">
      <w:pPr>
        <w:pStyle w:val="Title"/>
        <w:rPr>
          <w:rFonts w:eastAsia="Times New Roman"/>
        </w:rPr>
      </w:pPr>
      <w:r>
        <w:rPr>
          <w:rFonts w:eastAsia="Times New Roman"/>
        </w:rPr>
        <w:lastRenderedPageBreak/>
        <w:t>Process Verification Form</w:t>
      </w:r>
    </w:p>
    <w:p w14:paraId="2D42BDF4" w14:textId="5BD5A57A" w:rsidR="00A95EDA" w:rsidRDefault="00A95EDA" w:rsidP="00A95EDA">
      <w:r>
        <w:t>This form should be used</w:t>
      </w:r>
      <w:r w:rsidR="009576AA">
        <w:t xml:space="preserve"> to help Requestors understand the process and the decision matrix</w:t>
      </w:r>
      <w:r w:rsidR="009C11CF">
        <w:t>. It also communicates to the Curriculum and Assessment Committee or the Professional Program Leadership team who has had input into a give proposal.</w:t>
      </w:r>
    </w:p>
    <w:p w14:paraId="240DC0B4" w14:textId="77777777" w:rsidR="009C11CF" w:rsidRPr="00F64E6C" w:rsidRDefault="009C11CF" w:rsidP="00F64E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71771D" w:rsidRPr="00837D2B" w14:paraId="29EF6BC1" w14:textId="77777777" w:rsidTr="007D02DB">
        <w:tc>
          <w:tcPr>
            <w:tcW w:w="2605" w:type="dxa"/>
          </w:tcPr>
          <w:p w14:paraId="20856F6E" w14:textId="77777777" w:rsidR="0071771D" w:rsidRPr="002A123B" w:rsidRDefault="0071771D" w:rsidP="007D02DB">
            <w:pPr>
              <w:rPr>
                <w:rFonts w:ascii="Times New Roman" w:hAnsi="Times New Roman" w:cs="Times New Roman"/>
                <w:b/>
                <w:bCs/>
              </w:rPr>
            </w:pPr>
            <w:r w:rsidRPr="002A123B">
              <w:rPr>
                <w:b/>
                <w:bCs/>
              </w:rPr>
              <w:t>Project/Proposal Name</w:t>
            </w:r>
            <w:r>
              <w:rPr>
                <w:b/>
                <w:bCs/>
              </w:rPr>
              <w:t>:</w:t>
            </w:r>
          </w:p>
        </w:tc>
        <w:sdt>
          <w:sdtPr>
            <w:id w:val="-1289418805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</w:tcPr>
              <w:p w14:paraId="3A1099F7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53920600" w14:textId="77777777" w:rsidTr="007D02DB">
        <w:trPr>
          <w:trHeight w:val="809"/>
        </w:trPr>
        <w:tc>
          <w:tcPr>
            <w:tcW w:w="2605" w:type="dxa"/>
          </w:tcPr>
          <w:p w14:paraId="6105887A" w14:textId="77777777" w:rsidR="0071771D" w:rsidRPr="002A123B" w:rsidRDefault="0071771D" w:rsidP="007D02DB">
            <w:pPr>
              <w:rPr>
                <w:rFonts w:ascii="Times New Roman" w:hAnsi="Times New Roman" w:cs="Times New Roman"/>
                <w:b/>
                <w:bCs/>
              </w:rPr>
            </w:pPr>
            <w:r w:rsidRPr="002A123B">
              <w:rPr>
                <w:b/>
                <w:bCs/>
              </w:rPr>
              <w:t>Project/Proposal Description</w:t>
            </w:r>
            <w:r>
              <w:rPr>
                <w:b/>
                <w:bCs/>
              </w:rPr>
              <w:t>:</w:t>
            </w:r>
          </w:p>
        </w:tc>
        <w:sdt>
          <w:sdtPr>
            <w:id w:val="-1589834351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</w:tcPr>
              <w:p w14:paraId="2C51A775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6EC58A72" w14:textId="77777777" w:rsidTr="007D02DB">
        <w:tc>
          <w:tcPr>
            <w:tcW w:w="2605" w:type="dxa"/>
          </w:tcPr>
          <w:p w14:paraId="23FD0751" w14:textId="77777777" w:rsidR="0071771D" w:rsidRPr="002A123B" w:rsidRDefault="0071771D" w:rsidP="007D02DB">
            <w:pPr>
              <w:rPr>
                <w:rFonts w:ascii="Times New Roman" w:hAnsi="Times New Roman" w:cs="Times New Roman"/>
                <w:b/>
                <w:bCs/>
              </w:rPr>
            </w:pPr>
            <w:r w:rsidRPr="002A123B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  <w:sdt>
          <w:sdtPr>
            <w:id w:val="-17243629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</w:tcPr>
              <w:p w14:paraId="3D0E75AF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70B72692" w14:textId="77777777" w:rsidTr="007D02DB">
        <w:tc>
          <w:tcPr>
            <w:tcW w:w="2605" w:type="dxa"/>
          </w:tcPr>
          <w:p w14:paraId="2B5D2962" w14:textId="77777777" w:rsidR="0071771D" w:rsidRPr="002A123B" w:rsidRDefault="0071771D" w:rsidP="007D02DB">
            <w:pPr>
              <w:rPr>
                <w:rFonts w:ascii="Times New Roman" w:hAnsi="Times New Roman" w:cs="Times New Roman"/>
                <w:b/>
                <w:bCs/>
              </w:rPr>
            </w:pPr>
            <w:r w:rsidRPr="002A123B">
              <w:rPr>
                <w:b/>
                <w:bCs/>
              </w:rPr>
              <w:t>Version</w:t>
            </w:r>
            <w:r>
              <w:rPr>
                <w:b/>
                <w:bCs/>
              </w:rPr>
              <w:t>:</w:t>
            </w:r>
          </w:p>
        </w:tc>
        <w:sdt>
          <w:sdtPr>
            <w:id w:val="1136687307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</w:tcPr>
              <w:p w14:paraId="300952B8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2DA2894C" w14:textId="77777777" w:rsidTr="007D02DB">
        <w:tc>
          <w:tcPr>
            <w:tcW w:w="2605" w:type="dxa"/>
          </w:tcPr>
          <w:p w14:paraId="3D4FA50D" w14:textId="77777777" w:rsidR="0071771D" w:rsidRPr="002A123B" w:rsidRDefault="0071771D" w:rsidP="007D02DB">
            <w:pPr>
              <w:rPr>
                <w:b/>
                <w:bCs/>
              </w:rPr>
            </w:pPr>
            <w:r w:rsidRPr="002A123B">
              <w:rPr>
                <w:b/>
                <w:bCs/>
              </w:rPr>
              <w:t>Responsible (R):</w:t>
            </w:r>
          </w:p>
        </w:tc>
        <w:sdt>
          <w:sdtPr>
            <w:id w:val="-461883009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</w:tcPr>
              <w:p w14:paraId="337BC0DC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0F440580" w14:textId="77777777" w:rsidTr="007D02DB">
        <w:tc>
          <w:tcPr>
            <w:tcW w:w="2605" w:type="dxa"/>
            <w:tcBorders>
              <w:bottom w:val="single" w:sz="4" w:space="0" w:color="auto"/>
            </w:tcBorders>
          </w:tcPr>
          <w:p w14:paraId="4F79E620" w14:textId="77777777" w:rsidR="0071771D" w:rsidRPr="002A123B" w:rsidRDefault="0071771D" w:rsidP="007D02DB">
            <w:pPr>
              <w:rPr>
                <w:rFonts w:ascii="Times New Roman" w:hAnsi="Times New Roman" w:cs="Times New Roman"/>
                <w:b/>
                <w:bCs/>
              </w:rPr>
            </w:pPr>
            <w:r w:rsidRPr="002A123B">
              <w:rPr>
                <w:b/>
                <w:bCs/>
              </w:rPr>
              <w:t>Accountable (A)</w:t>
            </w:r>
            <w:r>
              <w:rPr>
                <w:b/>
                <w:bCs/>
              </w:rPr>
              <w:t>:</w:t>
            </w:r>
          </w:p>
        </w:tc>
        <w:sdt>
          <w:sdtPr>
            <w:id w:val="-135956153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  <w:tcBorders>
                  <w:bottom w:val="single" w:sz="4" w:space="0" w:color="auto"/>
                </w:tcBorders>
              </w:tcPr>
              <w:p w14:paraId="127E3856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0147E2D7" w14:textId="77777777" w:rsidTr="007D02D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333" w14:textId="77777777" w:rsidR="0071771D" w:rsidRPr="002A123B" w:rsidRDefault="0071771D" w:rsidP="007D02DB">
            <w:pPr>
              <w:rPr>
                <w:b/>
                <w:bCs/>
              </w:rPr>
            </w:pPr>
            <w:r>
              <w:rPr>
                <w:b/>
                <w:bCs/>
              </w:rPr>
              <w:t>Consulted (C)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21B" w14:textId="77777777" w:rsidR="0071771D" w:rsidRPr="00C538AE" w:rsidRDefault="0071771D" w:rsidP="007D02DB">
            <w:pPr>
              <w:rPr>
                <w:b/>
                <w:bCs/>
              </w:rPr>
            </w:pPr>
            <w:r w:rsidRPr="00C538AE">
              <w:rPr>
                <w:b/>
                <w:bCs/>
              </w:rPr>
              <w:t>Feedback (comments, suggests, concerns, was there consensus)</w:t>
            </w:r>
          </w:p>
        </w:tc>
      </w:tr>
      <w:tr w:rsidR="0071771D" w:rsidRPr="00837D2B" w14:paraId="29A712A3" w14:textId="77777777" w:rsidTr="007D02DB">
        <w:sdt>
          <w:sdtPr>
            <w:rPr>
              <w:b/>
              <w:bCs/>
            </w:rPr>
            <w:id w:val="-1755115087"/>
            <w:placeholder>
              <w:docPart w:val="3993894F7CF6414EBE190D9E85B1A278"/>
            </w:placeholder>
            <w:showingPlcHdr/>
          </w:sdtPr>
          <w:sdtContent>
            <w:tc>
              <w:tcPr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5FB17" w14:textId="77777777" w:rsidR="0071771D" w:rsidRPr="002A123B" w:rsidRDefault="0071771D" w:rsidP="007D02DB">
                <w:pPr>
                  <w:rPr>
                    <w:b/>
                    <w:bCs/>
                  </w:rPr>
                </w:pPr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1394746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E88E8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498DE411" w14:textId="77777777" w:rsidTr="007D02DB">
        <w:sdt>
          <w:sdtPr>
            <w:rPr>
              <w:b/>
              <w:bCs/>
            </w:rPr>
            <w:id w:val="543499223"/>
            <w:placeholder>
              <w:docPart w:val="3993894F7CF6414EBE190D9E85B1A278"/>
            </w:placeholder>
            <w:showingPlcHdr/>
          </w:sdtPr>
          <w:sdtContent>
            <w:tc>
              <w:tcPr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82AF57" w14:textId="77777777" w:rsidR="0071771D" w:rsidRPr="002A123B" w:rsidRDefault="0071771D" w:rsidP="007D02DB">
                <w:pPr>
                  <w:rPr>
                    <w:b/>
                    <w:bCs/>
                  </w:rPr>
                </w:pPr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9924593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D51F4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0D0694F6" w14:textId="77777777" w:rsidTr="007D02DB">
        <w:sdt>
          <w:sdtPr>
            <w:rPr>
              <w:b/>
              <w:bCs/>
            </w:rPr>
            <w:id w:val="133772259"/>
            <w:placeholder>
              <w:docPart w:val="3993894F7CF6414EBE190D9E85B1A278"/>
            </w:placeholder>
            <w:showingPlcHdr/>
          </w:sdtPr>
          <w:sdtContent>
            <w:tc>
              <w:tcPr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345B4" w14:textId="77777777" w:rsidR="0071771D" w:rsidRPr="002A123B" w:rsidRDefault="0071771D" w:rsidP="007D02DB">
                <w:pPr>
                  <w:rPr>
                    <w:b/>
                    <w:bCs/>
                  </w:rPr>
                </w:pPr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9618670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5E8F3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1EAC601D" w14:textId="77777777" w:rsidTr="007D02DB">
        <w:sdt>
          <w:sdtPr>
            <w:rPr>
              <w:b/>
              <w:bCs/>
            </w:rPr>
            <w:id w:val="122971376"/>
            <w:placeholder>
              <w:docPart w:val="3993894F7CF6414EBE190D9E85B1A278"/>
            </w:placeholder>
            <w:showingPlcHdr/>
          </w:sdtPr>
          <w:sdtContent>
            <w:tc>
              <w:tcPr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8D5D4F" w14:textId="77777777" w:rsidR="0071771D" w:rsidRPr="002A123B" w:rsidRDefault="0071771D" w:rsidP="007D02DB">
                <w:pPr>
                  <w:rPr>
                    <w:b/>
                    <w:bCs/>
                  </w:rPr>
                </w:pPr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0179780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418587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771D" w:rsidRPr="00837D2B" w14:paraId="3275A967" w14:textId="77777777" w:rsidTr="007D02DB">
        <w:tc>
          <w:tcPr>
            <w:tcW w:w="2605" w:type="dxa"/>
            <w:tcBorders>
              <w:top w:val="single" w:sz="4" w:space="0" w:color="auto"/>
            </w:tcBorders>
          </w:tcPr>
          <w:p w14:paraId="55F00ABB" w14:textId="77777777" w:rsidR="0071771D" w:rsidRPr="002A123B" w:rsidRDefault="0071771D" w:rsidP="007D02DB">
            <w:pPr>
              <w:rPr>
                <w:b/>
                <w:bCs/>
              </w:rPr>
            </w:pPr>
            <w:r>
              <w:rPr>
                <w:b/>
                <w:bCs/>
              </w:rPr>
              <w:t>Informed (I)</w:t>
            </w:r>
          </w:p>
        </w:tc>
        <w:sdt>
          <w:sdtPr>
            <w:id w:val="-879400592"/>
            <w:placeholder>
              <w:docPart w:val="3993894F7CF6414EBE190D9E85B1A278"/>
            </w:placeholder>
            <w:showingPlcHdr/>
          </w:sdtPr>
          <w:sdtContent>
            <w:tc>
              <w:tcPr>
                <w:tcW w:w="6745" w:type="dxa"/>
                <w:tcBorders>
                  <w:top w:val="single" w:sz="4" w:space="0" w:color="auto"/>
                </w:tcBorders>
              </w:tcPr>
              <w:p w14:paraId="74D88BBC" w14:textId="77777777" w:rsidR="0071771D" w:rsidRPr="00837D2B" w:rsidRDefault="0071771D" w:rsidP="007D02DB">
                <w:r w:rsidRPr="001A7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F0A2DE" w14:textId="77777777" w:rsidR="0071771D" w:rsidRDefault="0071771D" w:rsidP="007177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A4FF4F" w14:textId="77777777" w:rsidR="0071771D" w:rsidRPr="004C3AB0" w:rsidRDefault="0071771D" w:rsidP="007177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E33951" w14:textId="77777777" w:rsidR="0071771D" w:rsidRPr="002067E2" w:rsidRDefault="0071771D" w:rsidP="0071771D">
      <w:pPr>
        <w:rPr>
          <w:b/>
          <w:bCs/>
        </w:rPr>
      </w:pPr>
      <w:r w:rsidRPr="002067E2">
        <w:rPr>
          <w:b/>
          <w:bCs/>
        </w:rPr>
        <w:t>Glossary</w:t>
      </w:r>
    </w:p>
    <w:p w14:paraId="241A9412" w14:textId="77777777" w:rsidR="0071771D" w:rsidRPr="002A123B" w:rsidRDefault="0071771D" w:rsidP="0071771D">
      <w:r w:rsidRPr="002A123B">
        <w:t xml:space="preserve">Responsible (R): Who is responsible for completing the task/activity once </w:t>
      </w:r>
      <w:proofErr w:type="gramStart"/>
      <w:r w:rsidRPr="002A123B">
        <w:t>approved</w:t>
      </w:r>
      <w:proofErr w:type="gramEnd"/>
      <w:r w:rsidRPr="002A123B">
        <w:t xml:space="preserve"> </w:t>
      </w:r>
    </w:p>
    <w:p w14:paraId="2AAF407F" w14:textId="77777777" w:rsidR="0071771D" w:rsidRDefault="0071771D" w:rsidP="0071771D">
      <w:r w:rsidRPr="002A123B">
        <w:t xml:space="preserve">Accountable (A): Who is the person accountable for the final </w:t>
      </w:r>
      <w:proofErr w:type="gramStart"/>
      <w:r w:rsidRPr="002A123B">
        <w:t>decision</w:t>
      </w:r>
      <w:proofErr w:type="gramEnd"/>
    </w:p>
    <w:p w14:paraId="204A0654" w14:textId="77777777" w:rsidR="0071771D" w:rsidRDefault="0071771D" w:rsidP="0071771D">
      <w:r>
        <w:t xml:space="preserve">Consulted (C): Who was consulted during the process and what was there </w:t>
      </w:r>
      <w:proofErr w:type="gramStart"/>
      <w:r>
        <w:t>feedback</w:t>
      </w:r>
      <w:proofErr w:type="gramEnd"/>
    </w:p>
    <w:p w14:paraId="52E19536" w14:textId="77777777" w:rsidR="0071771D" w:rsidRPr="004C3AB0" w:rsidRDefault="0071771D" w:rsidP="0071771D">
      <w:r>
        <w:t xml:space="preserve">Informed: Who needs to </w:t>
      </w:r>
      <w:proofErr w:type="gramStart"/>
      <w:r>
        <w:t>kept</w:t>
      </w:r>
      <w:proofErr w:type="gramEnd"/>
      <w:r>
        <w:t xml:space="preserve"> informed about the process or final decision</w:t>
      </w:r>
    </w:p>
    <w:p w14:paraId="33262A82" w14:textId="77777777" w:rsidR="0071771D" w:rsidRDefault="0071771D" w:rsidP="0071771D"/>
    <w:p w14:paraId="5A399AA9" w14:textId="77777777" w:rsidR="0071771D" w:rsidRDefault="0071771D" w:rsidP="0071771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EEF32A3" w14:textId="77777777" w:rsidR="0071771D" w:rsidRPr="006764E1" w:rsidRDefault="0071771D" w:rsidP="0071771D">
      <w:pPr>
        <w:pStyle w:val="Caption"/>
      </w:pPr>
      <w:r>
        <w:lastRenderedPageBreak/>
        <w:t xml:space="preserve">Figure </w:t>
      </w:r>
      <w:fldSimple w:instr=" SEQ Figure \* ARABIC ">
        <w:r>
          <w:rPr>
            <w:noProof/>
          </w:rPr>
          <w:t>1</w:t>
        </w:r>
      </w:fldSimple>
      <w:r>
        <w:t>: Flow chart for curricular change process</w:t>
      </w:r>
    </w:p>
    <w:p w14:paraId="697690F9" w14:textId="19DB3EDE" w:rsidR="0071771D" w:rsidRDefault="00B9448B" w:rsidP="0071771D">
      <w:r w:rsidRPr="00B9448B">
        <w:rPr>
          <w:noProof/>
        </w:rPr>
        <w:drawing>
          <wp:inline distT="0" distB="0" distL="0" distR="0" wp14:anchorId="7294EE8C" wp14:editId="56905EB4">
            <wp:extent cx="5943600" cy="7614920"/>
            <wp:effectExtent l="0" t="0" r="0" b="0"/>
            <wp:docPr id="15205870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58706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48B" w:rsidDel="001332F8">
        <w:t xml:space="preserve"> </w:t>
      </w:r>
    </w:p>
    <w:p w14:paraId="688AF589" w14:textId="77777777" w:rsidR="00CF62C6" w:rsidRDefault="00CF62C6"/>
    <w:sectPr w:rsidR="00CF6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7E3F" w14:textId="77777777" w:rsidR="00533B70" w:rsidRDefault="00533B70" w:rsidP="00B46A6E">
      <w:r>
        <w:separator/>
      </w:r>
    </w:p>
  </w:endnote>
  <w:endnote w:type="continuationSeparator" w:id="0">
    <w:p w14:paraId="79922921" w14:textId="77777777" w:rsidR="00533B70" w:rsidRDefault="00533B70" w:rsidP="00B4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491930"/>
      <w:docPartObj>
        <w:docPartGallery w:val="Page Numbers (Bottom of Page)"/>
        <w:docPartUnique/>
      </w:docPartObj>
    </w:sdtPr>
    <w:sdtContent>
      <w:p w14:paraId="7F76CE1B" w14:textId="77777777" w:rsidR="00B46A6E" w:rsidRDefault="00B46A6E" w:rsidP="007C46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DCC83" w14:textId="77777777" w:rsidR="00B46A6E" w:rsidRDefault="00B46A6E" w:rsidP="00B46A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8296010"/>
      <w:docPartObj>
        <w:docPartGallery w:val="Page Numbers (Bottom of Page)"/>
        <w:docPartUnique/>
      </w:docPartObj>
    </w:sdtPr>
    <w:sdtContent>
      <w:p w14:paraId="28A3819C" w14:textId="77777777" w:rsidR="00B46A6E" w:rsidRDefault="00B46A6E" w:rsidP="007C46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7955FD" w14:textId="2AD7FA9D" w:rsidR="00C8747F" w:rsidRDefault="00B46A6E" w:rsidP="00C8747F">
    <w:pPr>
      <w:pStyle w:val="Footer"/>
      <w:ind w:right="360"/>
      <w:jc w:val="center"/>
    </w:pPr>
    <w:r w:rsidRPr="00C8747F">
      <w:rPr>
        <w:rFonts w:cstheme="minorHAns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F344D56" wp14:editId="4487C524">
          <wp:simplePos x="0" y="0"/>
          <wp:positionH relativeFrom="page">
            <wp:posOffset>13970</wp:posOffset>
          </wp:positionH>
          <wp:positionV relativeFrom="paragraph">
            <wp:posOffset>-260350</wp:posOffset>
          </wp:positionV>
          <wp:extent cx="2665730" cy="885825"/>
          <wp:effectExtent l="0" t="0" r="1270" b="9525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73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47F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7A2DB4F" wp14:editId="2DC42863">
          <wp:simplePos x="0" y="0"/>
          <wp:positionH relativeFrom="page">
            <wp:posOffset>7047963</wp:posOffset>
          </wp:positionH>
          <wp:positionV relativeFrom="paragraph">
            <wp:posOffset>-256443</wp:posOffset>
          </wp:positionV>
          <wp:extent cx="650111" cy="822960"/>
          <wp:effectExtent l="0" t="0" r="0" b="0"/>
          <wp:wrapNone/>
          <wp:docPr id="27" name="Picture 2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1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47F" w:rsidRPr="00C8747F">
      <w:rPr>
        <w:sz w:val="18"/>
        <w:szCs w:val="18"/>
      </w:rPr>
      <w:t>version1.0 11/6/2023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DD32" w14:textId="77777777" w:rsidR="00F1776C" w:rsidRDefault="00F1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1F70" w14:textId="77777777" w:rsidR="00533B70" w:rsidRDefault="00533B70" w:rsidP="00B46A6E">
      <w:r>
        <w:separator/>
      </w:r>
    </w:p>
  </w:footnote>
  <w:footnote w:type="continuationSeparator" w:id="0">
    <w:p w14:paraId="74279B50" w14:textId="77777777" w:rsidR="00533B70" w:rsidRDefault="00533B70" w:rsidP="00B4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D660" w14:textId="5F7D3DDF" w:rsidR="00F1776C" w:rsidRDefault="00F1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464" w14:textId="62BB7830" w:rsidR="00B46A6E" w:rsidRDefault="00B46A6E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DDC1E35" wp14:editId="307FC7B9">
          <wp:simplePos x="0" y="0"/>
          <wp:positionH relativeFrom="page">
            <wp:posOffset>13970</wp:posOffset>
          </wp:positionH>
          <wp:positionV relativeFrom="paragraph">
            <wp:posOffset>-450215</wp:posOffset>
          </wp:positionV>
          <wp:extent cx="812800" cy="822960"/>
          <wp:effectExtent l="0" t="0" r="6350" b="0"/>
          <wp:wrapNone/>
          <wp:docPr id="2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1DD069" wp14:editId="5FD11B91">
              <wp:simplePos x="0" y="0"/>
              <wp:positionH relativeFrom="page">
                <wp:posOffset>13970</wp:posOffset>
              </wp:positionH>
              <wp:positionV relativeFrom="paragraph">
                <wp:posOffset>-446405</wp:posOffset>
              </wp:positionV>
              <wp:extent cx="7772400" cy="82296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22960"/>
                      </a:xfrm>
                      <a:prstGeom prst="rect">
                        <a:avLst/>
                      </a:prstGeom>
                      <a:solidFill>
                        <a:srgbClr val="4B9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6227E" id="Rectangle 5" o:spid="_x0000_s1026" style="position:absolute;margin-left:1.1pt;margin-top:-35.15pt;width:612pt;height:6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" fillcolor="#4b9cd3" stroked="f" strokeweight="1pt">
              <w10:wrap anchorx="page"/>
            </v:rect>
          </w:pict>
        </mc:Fallback>
      </mc:AlternateContent>
    </w:r>
    <w:r>
      <w:rPr>
        <w:rFonts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B7831" wp14:editId="5CDEECEE">
              <wp:simplePos x="0" y="0"/>
              <wp:positionH relativeFrom="page">
                <wp:posOffset>3311622</wp:posOffset>
              </wp:positionH>
              <wp:positionV relativeFrom="paragraph">
                <wp:posOffset>-446356</wp:posOffset>
              </wp:positionV>
              <wp:extent cx="4438650" cy="314325"/>
              <wp:effectExtent l="0" t="0" r="0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650" cy="314325"/>
                      </a:xfrm>
                      <a:prstGeom prst="rect">
                        <a:avLst/>
                      </a:prstGeom>
                      <a:solidFill>
                        <a:srgbClr val="052F61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CBDFD" id="Rectangle 19" o:spid="_x0000_s1026" style="position:absolute;margin-left:260.75pt;margin-top:-35.15pt;width:34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" fillcolor="#052f61" stroked="f" strokeweight="1pt">
              <v:fill opacity="52428f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6200" w14:textId="766A1A3B" w:rsidR="00F1776C" w:rsidRDefault="00F17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43E"/>
    <w:multiLevelType w:val="hybridMultilevel"/>
    <w:tmpl w:val="0DF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343"/>
    <w:multiLevelType w:val="hybridMultilevel"/>
    <w:tmpl w:val="7108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7C7"/>
    <w:multiLevelType w:val="hybridMultilevel"/>
    <w:tmpl w:val="36E2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75DB"/>
    <w:multiLevelType w:val="hybridMultilevel"/>
    <w:tmpl w:val="3BA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1450">
    <w:abstractNumId w:val="0"/>
  </w:num>
  <w:num w:numId="2" w16cid:durableId="2120104603">
    <w:abstractNumId w:val="2"/>
  </w:num>
  <w:num w:numId="3" w16cid:durableId="1613514430">
    <w:abstractNumId w:val="1"/>
  </w:num>
  <w:num w:numId="4" w16cid:durableId="1774394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1D"/>
    <w:rsid w:val="00003F83"/>
    <w:rsid w:val="000D4005"/>
    <w:rsid w:val="001332F8"/>
    <w:rsid w:val="0016441B"/>
    <w:rsid w:val="00180C32"/>
    <w:rsid w:val="001C48ED"/>
    <w:rsid w:val="001E528F"/>
    <w:rsid w:val="002179E9"/>
    <w:rsid w:val="00277653"/>
    <w:rsid w:val="002C5147"/>
    <w:rsid w:val="002D0B89"/>
    <w:rsid w:val="003346C7"/>
    <w:rsid w:val="003B3C40"/>
    <w:rsid w:val="00400A53"/>
    <w:rsid w:val="004122C1"/>
    <w:rsid w:val="00447E4C"/>
    <w:rsid w:val="0047299D"/>
    <w:rsid w:val="004B0E42"/>
    <w:rsid w:val="004B3204"/>
    <w:rsid w:val="004D06AA"/>
    <w:rsid w:val="004D6E4B"/>
    <w:rsid w:val="00533B70"/>
    <w:rsid w:val="00543F62"/>
    <w:rsid w:val="005C7795"/>
    <w:rsid w:val="006121C0"/>
    <w:rsid w:val="00636E85"/>
    <w:rsid w:val="00643726"/>
    <w:rsid w:val="0065674A"/>
    <w:rsid w:val="00663C09"/>
    <w:rsid w:val="006F40A2"/>
    <w:rsid w:val="00705644"/>
    <w:rsid w:val="0071771D"/>
    <w:rsid w:val="007E0E6F"/>
    <w:rsid w:val="007E16E0"/>
    <w:rsid w:val="007E58AF"/>
    <w:rsid w:val="008064B3"/>
    <w:rsid w:val="00821D5C"/>
    <w:rsid w:val="0088623C"/>
    <w:rsid w:val="00887505"/>
    <w:rsid w:val="00911A6D"/>
    <w:rsid w:val="009576AA"/>
    <w:rsid w:val="009C11CF"/>
    <w:rsid w:val="009C3D3D"/>
    <w:rsid w:val="009D1A1B"/>
    <w:rsid w:val="00A02E82"/>
    <w:rsid w:val="00A95EDA"/>
    <w:rsid w:val="00B43D81"/>
    <w:rsid w:val="00B46A6E"/>
    <w:rsid w:val="00B9448B"/>
    <w:rsid w:val="00BF556E"/>
    <w:rsid w:val="00C038FB"/>
    <w:rsid w:val="00C50E6B"/>
    <w:rsid w:val="00C5179B"/>
    <w:rsid w:val="00C8747F"/>
    <w:rsid w:val="00CC59A9"/>
    <w:rsid w:val="00CF5850"/>
    <w:rsid w:val="00CF62C6"/>
    <w:rsid w:val="00D0198F"/>
    <w:rsid w:val="00D40CD6"/>
    <w:rsid w:val="00E64D9E"/>
    <w:rsid w:val="00E73FE8"/>
    <w:rsid w:val="00E9029A"/>
    <w:rsid w:val="00E92031"/>
    <w:rsid w:val="00EA416C"/>
    <w:rsid w:val="00F008BE"/>
    <w:rsid w:val="00F1776C"/>
    <w:rsid w:val="00F45343"/>
    <w:rsid w:val="00F45A52"/>
    <w:rsid w:val="00F64E6C"/>
    <w:rsid w:val="00F73FFF"/>
    <w:rsid w:val="00F9352B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B8203"/>
  <w15:chartTrackingRefBased/>
  <w15:docId w15:val="{AB4B6FF8-6411-DC43-9A46-2F5B3326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1D"/>
  </w:style>
  <w:style w:type="paragraph" w:styleId="Heading1">
    <w:name w:val="heading 1"/>
    <w:basedOn w:val="Normal"/>
    <w:next w:val="Normal"/>
    <w:link w:val="Heading1Char"/>
    <w:uiPriority w:val="9"/>
    <w:qFormat/>
    <w:rsid w:val="00717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6E"/>
  </w:style>
  <w:style w:type="paragraph" w:styleId="Footer">
    <w:name w:val="footer"/>
    <w:basedOn w:val="Normal"/>
    <w:link w:val="FooterChar"/>
    <w:uiPriority w:val="99"/>
    <w:unhideWhenUsed/>
    <w:rsid w:val="00B4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6E"/>
  </w:style>
  <w:style w:type="character" w:styleId="PageNumber">
    <w:name w:val="page number"/>
    <w:basedOn w:val="DefaultParagraphFont"/>
    <w:uiPriority w:val="99"/>
    <w:semiHidden/>
    <w:unhideWhenUsed/>
    <w:rsid w:val="00B46A6E"/>
  </w:style>
  <w:style w:type="character" w:customStyle="1" w:styleId="Heading1Char">
    <w:name w:val="Heading 1 Char"/>
    <w:basedOn w:val="DefaultParagraphFont"/>
    <w:link w:val="Heading1"/>
    <w:uiPriority w:val="9"/>
    <w:rsid w:val="0071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77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771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1771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71D"/>
    <w:pPr>
      <w:ind w:left="720"/>
      <w:contextualSpacing/>
    </w:pPr>
  </w:style>
  <w:style w:type="paragraph" w:styleId="Revision">
    <w:name w:val="Revision"/>
    <w:hidden/>
    <w:uiPriority w:val="99"/>
    <w:semiHidden/>
    <w:rsid w:val="004B3204"/>
  </w:style>
  <w:style w:type="character" w:styleId="CommentReference">
    <w:name w:val="annotation reference"/>
    <w:basedOn w:val="DefaultParagraphFont"/>
    <w:uiPriority w:val="99"/>
    <w:semiHidden/>
    <w:unhideWhenUsed/>
    <w:rsid w:val="002C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3894F7CF6414EBE190D9E85B1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BA86-8B10-254F-A48C-DF017E34437A}"/>
      </w:docPartPr>
      <w:docPartBody>
        <w:p w:rsidR="006F084C" w:rsidRDefault="006F084C" w:rsidP="006F084C">
          <w:pPr>
            <w:pStyle w:val="3993894F7CF6414EBE190D9E85B1A278"/>
          </w:pPr>
          <w:r w:rsidRPr="001A71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4C"/>
    <w:rsid w:val="003F0AE8"/>
    <w:rsid w:val="006F084C"/>
    <w:rsid w:val="00952766"/>
    <w:rsid w:val="009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84C"/>
    <w:rPr>
      <w:color w:val="808080"/>
    </w:rPr>
  </w:style>
  <w:style w:type="paragraph" w:customStyle="1" w:styleId="3993894F7CF6414EBE190D9E85B1A278">
    <w:name w:val="3993894F7CF6414EBE190D9E85B1A278"/>
    <w:rsid w:val="006F0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Persky</dc:creator>
  <cp:keywords/>
  <dc:description/>
  <cp:lastModifiedBy>Corbett, Amanda H</cp:lastModifiedBy>
  <cp:revision>2</cp:revision>
  <dcterms:created xsi:type="dcterms:W3CDTF">2023-11-07T16:06:00Z</dcterms:created>
  <dcterms:modified xsi:type="dcterms:W3CDTF">2023-11-07T16:06:00Z</dcterms:modified>
</cp:coreProperties>
</file>